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0"/>
        <w:ind w:firstLine="0"/>
        <w:rPr>
          <w:rFonts w:hint="eastAsia" w:ascii="Times New Roman" w:hAnsi="Times New Roman" w:eastAsia="黑体"/>
          <w:b/>
          <w:bCs/>
          <w:sz w:val="84"/>
          <w:highlight w:val="none"/>
        </w:rPr>
      </w:pPr>
      <w:r>
        <w:rPr>
          <w:rFonts w:hint="eastAsia" w:ascii="Times New Roman" w:hAnsi="Times New Roman" w:eastAsia="黑体"/>
          <w:b/>
          <w:bCs/>
          <w:sz w:val="84"/>
          <w:highlight w:val="none"/>
        </w:rPr>
      </w:r>
      <w:r/>
    </w:p>
    <w:p>
      <w:pPr>
        <w:pStyle w:val="750"/>
        <w:ind w:firstLine="0"/>
        <w:rPr>
          <w:rFonts w:hint="eastAsia" w:ascii="Times New Roman" w:hAnsi="Times New Roman" w:eastAsia="黑体"/>
          <w:b/>
          <w:bCs/>
          <w:sz w:val="84"/>
          <w:highlight w:val="none"/>
        </w:rPr>
      </w:pPr>
      <w:r>
        <w:rPr>
          <w:rFonts w:hint="eastAsia" w:ascii="Times New Roman" w:hAnsi="Times New Roman" w:eastAsia="黑体"/>
          <w:b/>
          <w:bCs/>
          <w:sz w:val="84"/>
          <w:highlight w:val="none"/>
        </w:rPr>
      </w:r>
      <w:r/>
    </w:p>
    <w:p>
      <w:pPr>
        <w:pStyle w:val="750"/>
        <w:ind w:firstLine="0"/>
        <w:jc w:val="center"/>
        <w:rPr>
          <w:rFonts w:hint="eastAsia"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rPr>
          <w:rFonts w:hint="eastAsia" w:ascii="Times New Roman" w:hAnsi="Times New Roman" w:eastAsia="黑体"/>
          <w:b/>
          <w:bCs/>
          <w:sz w:val="84"/>
          <w:highlight w:val="none"/>
        </w:rPr>
      </w:r>
      <w:r/>
    </w:p>
    <w:p>
      <w:pPr>
        <w:pStyle w:val="664"/>
        <w:jc w:val="center"/>
        <w:spacing w:before="120" w:after="120" w:line="360" w:lineRule="auto"/>
        <w:rPr>
          <w:rFonts w:eastAsia="黑体"/>
          <w:b/>
          <w:bCs/>
          <w:sz w:val="84"/>
          <w:szCs w:val="24"/>
          <w:highlight w:val="none"/>
        </w:rPr>
      </w:pPr>
      <w:r>
        <w:rPr>
          <w:rFonts w:eastAsia="黑体"/>
          <w:b/>
          <w:bCs/>
          <w:sz w:val="84"/>
          <w:szCs w:val="24"/>
          <w:highlight w:val="none"/>
        </w:rPr>
      </w:r>
      <w:r/>
    </w:p>
    <w:p>
      <w:pPr>
        <w:pStyle w:val="664"/>
        <w:jc w:val="center"/>
        <w:spacing w:before="120" w:after="120" w:line="360" w:lineRule="auto"/>
        <w:rPr>
          <w:rFonts w:hint="eastAsia" w:ascii="黑体" w:hAnsi="黑体" w:eastAsia="黑体"/>
          <w:b/>
          <w:bCs/>
          <w:sz w:val="32"/>
          <w:szCs w:val="32"/>
          <w:highlight w:val="none"/>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rPr>
        <w:t xml:space="preserve">宿迁市人民检察院“两个中心”智能化建设补充项目</w:t>
      </w:r>
      <w:r>
        <w:rPr>
          <w:rFonts w:hint="eastAsia" w:ascii="黑体" w:hAnsi="黑体" w:eastAsia="黑体"/>
          <w:b/>
          <w:bCs/>
          <w:sz w:val="32"/>
          <w:szCs w:val="32"/>
          <w:highlight w:val="none"/>
        </w:rPr>
      </w:r>
      <w:r/>
    </w:p>
    <w:p>
      <w:pPr>
        <w:pStyle w:val="664"/>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JSZC-321300-JXXM-G2025-0009</w:t>
      </w:r>
      <w:r>
        <w:rPr>
          <w:rFonts w:hint="eastAsia" w:ascii="黑体" w:hAnsi="黑体" w:eastAsia="黑体"/>
          <w:b/>
          <w:bCs/>
          <w:sz w:val="32"/>
          <w:szCs w:val="32"/>
          <w:highlight w:val="none"/>
          <w:lang w:eastAsia="zh-CN"/>
        </w:rPr>
      </w:r>
      <w:r/>
    </w:p>
    <w:p>
      <w:pPr>
        <w:pStyle w:val="664"/>
        <w:ind w:left="2100"/>
        <w:rPr>
          <w:rFonts w:hint="eastAsia"/>
          <w:b/>
          <w:sz w:val="30"/>
          <w:szCs w:val="30"/>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货物</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rPr>
        <w:t xml:space="preserve">不专门</w:t>
      </w:r>
      <w:r>
        <w:rPr>
          <w:rFonts w:hint="eastAsia" w:ascii="黑体" w:hAnsi="黑体" w:eastAsia="黑体"/>
          <w:b/>
          <w:bCs/>
          <w:sz w:val="32"/>
          <w:szCs w:val="32"/>
          <w:highlight w:val="none"/>
        </w:rPr>
        <w:t xml:space="preserve">面向中小企业）</w:t>
      </w:r>
      <w:r>
        <w:rPr>
          <w:rFonts w:hint="eastAsia"/>
          <w:b/>
          <w:sz w:val="30"/>
          <w:szCs w:val="30"/>
          <w:highlight w:val="none"/>
        </w:rPr>
      </w:r>
      <w:r/>
    </w:p>
    <w:p>
      <w:pPr>
        <w:pStyle w:val="750"/>
        <w:ind w:firstLine="0"/>
        <w:spacing w:before="0" w:after="0"/>
        <w:rPr>
          <w:rFonts w:hint="eastAsia" w:ascii="Times New Roman" w:hAnsi="Times New Roman"/>
          <w:highlight w:val="none"/>
        </w:rPr>
      </w:pPr>
      <w:r>
        <w:rPr>
          <w:rFonts w:hint="eastAsia" w:ascii="Times New Roman" w:hAnsi="Times New Roman"/>
          <w:highlight w:val="none"/>
        </w:rPr>
      </w:r>
      <w:r/>
    </w:p>
    <w:p>
      <w:pPr>
        <w:pStyle w:val="750"/>
        <w:ind w:firstLine="0"/>
        <w:spacing w:before="0" w:after="0"/>
        <w:rPr>
          <w:rFonts w:hint="eastAsia" w:ascii="Times New Roman" w:hAnsi="Times New Roman"/>
          <w:highlight w:val="none"/>
        </w:rPr>
      </w:pPr>
      <w:r>
        <w:rPr>
          <w:rFonts w:hint="eastAsia" w:ascii="Times New Roman" w:hAnsi="Times New Roman"/>
          <w:highlight w:val="none"/>
        </w:rPr>
      </w:r>
      <w:r/>
    </w:p>
    <w:p>
      <w:pPr>
        <w:pStyle w:val="750"/>
        <w:ind w:firstLine="0"/>
        <w:spacing w:before="0" w:after="0"/>
        <w:rPr>
          <w:rFonts w:hint="eastAsia" w:ascii="Times New Roman" w:hAnsi="Times New Roman"/>
          <w:highlight w:val="none"/>
        </w:rPr>
      </w:pPr>
      <w:r>
        <w:rPr>
          <w:rFonts w:hint="eastAsia" w:ascii="Times New Roman" w:hAnsi="Times New Roman"/>
          <w:highlight w:val="none"/>
        </w:rPr>
      </w:r>
      <w:r/>
    </w:p>
    <w:p>
      <w:pPr>
        <w:pStyle w:val="750"/>
        <w:ind w:firstLine="0"/>
        <w:spacing w:before="0" w:after="0"/>
        <w:rPr>
          <w:rFonts w:hint="eastAsia" w:ascii="Times New Roman" w:hAnsi="Times New Roman"/>
          <w:highlight w:val="none"/>
        </w:rPr>
      </w:pPr>
      <w:r>
        <w:rPr>
          <w:rFonts w:hint="eastAsia" w:ascii="Times New Roman" w:hAnsi="Times New Roman"/>
          <w:highlight w:val="none"/>
        </w:rPr>
      </w:r>
      <w:r/>
    </w:p>
    <w:p>
      <w:pPr>
        <w:pStyle w:val="750"/>
        <w:ind w:firstLine="1690"/>
        <w:jc w:val="both"/>
        <w:rPr>
          <w:rFonts w:hint="eastAsia" w:ascii="黑体" w:hAnsi="黑体" w:eastAsia="黑体"/>
          <w:b/>
          <w:bCs/>
          <w:sz w:val="32"/>
          <w:highlight w:val="none"/>
          <w:u w:val="single"/>
        </w:rPr>
      </w:pPr>
      <w:r>
        <w:rPr>
          <w:rFonts w:hint="eastAsia" w:ascii="黑体" w:hAnsi="黑体" w:eastAsia="黑体"/>
          <w:b/>
          <w:bCs/>
          <w:sz w:val="32"/>
          <w:highlight w:val="none"/>
        </w:rPr>
        <w:t xml:space="preserve">采购人：</w:t>
      </w:r>
      <w:r>
        <w:rPr>
          <w:rFonts w:hint="eastAsia" w:ascii="黑体" w:hAnsi="黑体" w:eastAsia="黑体"/>
          <w:b/>
          <w:sz w:val="30"/>
          <w:szCs w:val="30"/>
          <w:highlight w:val="none"/>
          <w:u w:val="single"/>
        </w:rPr>
        <w:t xml:space="preserve">江苏省宿迁市人民检察院、宿迁市楚润数据集团有限公司</w:t>
      </w:r>
      <w:r>
        <w:rPr>
          <w:rFonts w:hint="eastAsia" w:ascii="黑体" w:hAnsi="黑体" w:eastAsia="黑体"/>
          <w:b/>
          <w:bCs/>
          <w:sz w:val="32"/>
          <w:highlight w:val="none"/>
          <w:u w:val="single"/>
        </w:rPr>
      </w:r>
      <w:r/>
    </w:p>
    <w:p>
      <w:pPr>
        <w:pStyle w:val="750"/>
        <w:ind w:firstLine="1606"/>
        <w:jc w:val="both"/>
        <w:rPr>
          <w:rFonts w:ascii="黑体" w:hAnsi="黑体" w:eastAsia="黑体"/>
          <w:b/>
          <w:bCs/>
          <w:sz w:val="32"/>
          <w:highlight w:val="none"/>
          <w:u w:val="single"/>
        </w:rPr>
      </w:pPr>
      <w:r>
        <w:rPr>
          <w:rFonts w:hint="eastAsia" w:ascii="黑体" w:hAnsi="黑体" w:eastAsia="黑体"/>
          <w:b/>
          <w:bCs/>
          <w:sz w:val="32"/>
          <w:highlight w:val="none"/>
        </w:rPr>
        <w:t xml:space="preserve">采购代理机构：</w:t>
      </w:r>
      <w:r>
        <w:rPr>
          <w:rFonts w:hint="eastAsia" w:ascii="黑体" w:hAnsi="黑体" w:eastAsia="黑体"/>
          <w:b/>
          <w:sz w:val="30"/>
          <w:szCs w:val="30"/>
          <w:highlight w:val="none"/>
          <w:u w:val="single"/>
        </w:rPr>
        <w:t xml:space="preserve">江苏佳兴项目管理有限公司</w:t>
      </w:r>
      <w:r>
        <w:rPr>
          <w:rFonts w:ascii="黑体" w:hAnsi="黑体" w:eastAsia="黑体"/>
          <w:b/>
          <w:bCs/>
          <w:sz w:val="32"/>
          <w:highlight w:val="none"/>
          <w:u w:val="single"/>
        </w:rPr>
      </w:r>
      <w:r/>
    </w:p>
    <w:p>
      <w:pPr>
        <w:pStyle w:val="750"/>
        <w:ind w:firstLine="0"/>
        <w:jc w:val="center"/>
        <w:rPr>
          <w:rFonts w:hint="eastAsia" w:ascii="黑体" w:hAnsi="黑体" w:eastAsia="黑体"/>
          <w:b/>
          <w:bCs/>
          <w:sz w:val="32"/>
          <w:highlight w:val="none"/>
          <w:u w:val="single"/>
        </w:rPr>
      </w:pPr>
      <w:r>
        <w:rPr>
          <w:rFonts w:hint="eastAsia" w:ascii="黑体" w:hAnsi="黑体" w:eastAsia="黑体"/>
          <w:b/>
          <w:bCs/>
          <w:sz w:val="32"/>
          <w:highlight w:val="none"/>
          <w:u w:val="single"/>
        </w:rPr>
        <w:t xml:space="preserve">2025</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1</w:t>
      </w:r>
      <w:r>
        <w:rPr>
          <w:rFonts w:hint="eastAsia" w:ascii="黑体" w:hAnsi="黑体" w:eastAsia="黑体"/>
          <w:b/>
          <w:bCs/>
          <w:sz w:val="32"/>
          <w:highlight w:val="none"/>
          <w:u w:val="single"/>
          <w:lang w:val="en-US" w:eastAsia="zh-CN"/>
        </w:rPr>
        <w:t xml:space="preserve">0</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9</w:t>
      </w:r>
      <w:r>
        <w:rPr>
          <w:rFonts w:hint="eastAsia" w:ascii="黑体" w:hAnsi="黑体" w:eastAsia="黑体"/>
          <w:b/>
          <w:bCs/>
          <w:sz w:val="32"/>
          <w:highlight w:val="none"/>
        </w:rPr>
        <w:t xml:space="preserve">日</w:t>
      </w:r>
      <w:r>
        <w:rPr>
          <w:rFonts w:hint="eastAsia" w:ascii="黑体" w:hAnsi="黑体" w:eastAsia="黑体"/>
          <w:b/>
          <w:bCs/>
          <w:sz w:val="32"/>
          <w:highlight w:val="none"/>
          <w:u w:val="single"/>
        </w:rPr>
      </w:r>
      <w:r/>
    </w:p>
    <w:p>
      <w:pPr>
        <w:pStyle w:val="750"/>
        <w:ind w:firstLine="0"/>
        <w:rPr>
          <w:rFonts w:hint="eastAsia" w:ascii="Times New Roman" w:hAnsi="Times New Roman"/>
          <w:highlight w:val="none"/>
        </w:rPr>
      </w:pPr>
      <w:r>
        <w:rPr>
          <w:rFonts w:hint="eastAsia" w:ascii="Times New Roman" w:hAnsi="Times New Roman"/>
          <w:highlight w:val="none"/>
        </w:rPr>
        <w:t xml:space="preserve">                        </w:t>
      </w:r>
      <w:r>
        <w:rPr>
          <w:rFonts w:hint="eastAsia" w:ascii="Times New Roman" w:hAnsi="Times New Roman"/>
          <w:highlight w:val="none"/>
        </w:rPr>
      </w:r>
      <w:r/>
    </w:p>
    <w:p>
      <w:pPr>
        <w:pStyle w:val="664"/>
        <w:jc w:val="center"/>
        <w:spacing w:line="480" w:lineRule="auto"/>
        <w:rPr>
          <w:rFonts w:hint="eastAsia" w:eastAsia="黑体"/>
          <w:b/>
          <w:sz w:val="44"/>
          <w:highlight w:val="none"/>
        </w:rPr>
        <w:outlineLvl w:val="0"/>
      </w:pPr>
      <w:r/>
      <w:bookmarkStart w:id="0" w:name="_Toc9107"/>
      <w:r/>
      <w:bookmarkStart w:id="1" w:name="_Toc6105"/>
      <w:r/>
      <w:bookmarkStart w:id="2" w:name="_Toc19530"/>
      <w:r/>
      <w:bookmarkStart w:id="3" w:name="_Toc120614210"/>
      <w:r/>
      <w:bookmarkStart w:id="4" w:name="_Toc523127445"/>
      <w:r/>
      <w:bookmarkStart w:id="5" w:name="_Toc479757206"/>
      <w:r/>
      <w:bookmarkStart w:id="6" w:name="_Toc20823272"/>
      <w:r/>
      <w:bookmarkStart w:id="7" w:name="_Toc16938516"/>
      <w:r/>
      <w:bookmarkStart w:id="8" w:name="_Toc513029200"/>
      <w:r>
        <w:rPr>
          <w:rFonts w:hint="eastAsia" w:eastAsia="黑体"/>
          <w:b/>
          <w:sz w:val="44"/>
          <w:highlight w:val="none"/>
        </w:rPr>
        <w:t xml:space="preserve">总  目  录</w:t>
      </w:r>
      <w:bookmarkEnd w:id="0"/>
      <w:r/>
      <w:bookmarkEnd w:id="1"/>
      <w:r/>
      <w:bookmarkEnd w:id="2"/>
      <w:r>
        <w:rPr>
          <w:rFonts w:hint="eastAsia" w:eastAsia="黑体"/>
          <w:b/>
          <w:sz w:val="44"/>
          <w:highlight w:val="none"/>
        </w:rPr>
      </w:r>
      <w:r/>
    </w:p>
    <w:p>
      <w:pPr>
        <w:pStyle w:val="722"/>
        <w:ind w:left="0"/>
        <w:tabs>
          <w:tab w:val="right" w:pos="8953" w:leader="dot"/>
        </w:tabs>
        <w:rPr>
          <w:rFonts w:hint="eastAsia" w:eastAsia="仿宋_GB2312"/>
          <w:highlight w:val="none"/>
        </w:rPr>
      </w:pPr>
      <w:r>
        <w:rPr>
          <w:rFonts w:hint="eastAsia" w:eastAsia="仿宋_GB2312"/>
          <w:highlight w:val="none"/>
        </w:rPr>
      </w:r>
      <w:r/>
    </w:p>
    <w:p>
      <w:pPr>
        <w:pStyle w:val="715"/>
        <w:tabs>
          <w:tab w:val="right" w:pos="8953" w:leader="dot"/>
        </w:tabs>
        <w:rPr>
          <w:highlight w:val="none"/>
        </w:rPr>
      </w:pPr>
      <w:r>
        <w:rPr>
          <w:rFonts w:hint="eastAsia" w:eastAsia="仿宋_GB2312"/>
          <w:highlight w:val="none"/>
        </w:rPr>
        <w:fldChar w:fldCharType="begin"/>
      </w:r>
      <w:r>
        <w:rPr>
          <w:rFonts w:hint="eastAsia" w:eastAsia="仿宋_GB2312"/>
          <w:highlight w:val="none"/>
        </w:rPr>
        <w:instrText xml:space="preserve">TOC \o "1-3" \h \u </w:instrText>
      </w:r>
      <w:r>
        <w:rPr>
          <w:rFonts w:hint="eastAsia" w:eastAsia="仿宋_GB2312"/>
          <w:highlight w:val="none"/>
        </w:rPr>
        <w:fldChar w:fldCharType="separate"/>
      </w:r>
      <w:r>
        <w:rPr>
          <w:rFonts w:hint="eastAsia" w:eastAsia="仿宋_GB2312"/>
          <w:highlight w:val="none"/>
        </w:rPr>
        <w:fldChar w:fldCharType="begin"/>
      </w:r>
      <w:r>
        <w:rPr>
          <w:rFonts w:hint="eastAsia" w:eastAsia="仿宋_GB2312"/>
          <w:highlight w:val="none"/>
        </w:rPr>
        <w:instrText xml:space="preserve"> HYPERLINK \l _Toc4534 </w:instrText>
      </w:r>
      <w:r>
        <w:rPr>
          <w:rFonts w:hint="eastAsia" w:eastAsia="仿宋_GB2312"/>
          <w:highlight w:val="none"/>
        </w:rPr>
        <w:fldChar w:fldCharType="separate"/>
      </w:r>
      <w:r>
        <w:rPr>
          <w:rFonts w:hint="eastAsia" w:ascii="Times New Roman" w:eastAsia="黑体"/>
          <w:szCs w:val="44"/>
          <w:highlight w:val="none"/>
        </w:rPr>
        <w:t xml:space="preserve">第一章  投标邀请</w:t>
      </w:r>
      <w:r>
        <w:rPr>
          <w:highlight w:val="none"/>
        </w:rPr>
        <w:tab/>
      </w:r>
      <w:r>
        <w:rPr>
          <w:highlight w:val="none"/>
        </w:rPr>
        <w:fldChar w:fldCharType="begin"/>
      </w:r>
      <w:r>
        <w:rPr>
          <w:highlight w:val="none"/>
        </w:rPr>
        <w:instrText xml:space="preserve"> PAGEREF _Toc4534 \h </w:instrText>
      </w:r>
      <w:r>
        <w:rPr>
          <w:highlight w:val="none"/>
        </w:rPr>
        <w:fldChar w:fldCharType="separate"/>
      </w:r>
      <w:r>
        <w:rPr>
          <w:highlight w:val="none"/>
        </w:rPr>
        <w:t xml:space="preserve">２</w:t>
      </w:r>
      <w:r>
        <w:rPr>
          <w:highlight w:val="none"/>
        </w:rPr>
        <w:fldChar w:fldCharType="end"/>
      </w:r>
      <w:r>
        <w:rPr>
          <w:rFonts w:hint="eastAsia" w:eastAsia="仿宋_GB2312"/>
          <w:highlight w:val="none"/>
        </w:rPr>
        <w:fldChar w:fldCharType="end"/>
      </w:r>
      <w:r>
        <w:rPr>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_Toc30733 </w:instrText>
      </w:r>
      <w:r>
        <w:rPr>
          <w:rFonts w:hint="eastAsia" w:eastAsia="仿宋_GB2312"/>
          <w:i w:val="0"/>
          <w:iCs w:val="0"/>
          <w:highlight w:val="none"/>
        </w:rPr>
        <w:fldChar w:fldCharType="separate"/>
      </w:r>
      <w:r>
        <w:rPr>
          <w:rFonts w:hint="eastAsia"/>
          <w:i w:val="0"/>
          <w:iCs w:val="0"/>
          <w:highlight w:val="none"/>
        </w:rPr>
        <w:t xml:space="preserve">一、项目基本情况</w:t>
      </w:r>
      <w:r>
        <w:rPr>
          <w:i w:val="0"/>
          <w:iCs w:val="0"/>
          <w:highlight w:val="none"/>
        </w:rPr>
        <w:tab/>
      </w:r>
      <w:r>
        <w:rPr>
          <w:i w:val="0"/>
          <w:iCs w:val="0"/>
          <w:highlight w:val="none"/>
        </w:rPr>
        <w:fldChar w:fldCharType="begin"/>
      </w:r>
      <w:r>
        <w:rPr>
          <w:i w:val="0"/>
          <w:iCs w:val="0"/>
          <w:highlight w:val="none"/>
        </w:rPr>
        <w:instrText xml:space="preserve"> PAGEREF _Toc30733 \h </w:instrText>
      </w:r>
      <w:r>
        <w:rPr>
          <w:i w:val="0"/>
          <w:iCs w:val="0"/>
          <w:highlight w:val="none"/>
        </w:rPr>
        <w:fldChar w:fldCharType="separate"/>
      </w:r>
      <w:r>
        <w:rPr>
          <w:i w:val="0"/>
          <w:iCs w:val="0"/>
          <w:highlight w:val="none"/>
        </w:rPr>
        <w:t xml:space="preserve">３</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_Toc2991 </w:instrText>
      </w:r>
      <w:r>
        <w:rPr>
          <w:rFonts w:hint="eastAsia" w:eastAsia="仿宋_GB2312"/>
          <w:i w:val="0"/>
          <w:iCs w:val="0"/>
          <w:highlight w:val="none"/>
        </w:rPr>
        <w:fldChar w:fldCharType="separate"/>
      </w:r>
      <w:r>
        <w:rPr>
          <w:rFonts w:hint="eastAsia"/>
          <w:i w:val="0"/>
          <w:iCs w:val="0"/>
          <w:highlight w:val="none"/>
        </w:rPr>
        <w:t xml:space="preserve">二、申请人的资格要求：</w:t>
      </w:r>
      <w:r>
        <w:rPr>
          <w:i w:val="0"/>
          <w:iCs w:val="0"/>
          <w:highlight w:val="none"/>
        </w:rPr>
        <w:tab/>
      </w:r>
      <w:r>
        <w:rPr>
          <w:i w:val="0"/>
          <w:iCs w:val="0"/>
          <w:highlight w:val="none"/>
        </w:rPr>
        <w:fldChar w:fldCharType="begin"/>
      </w:r>
      <w:r>
        <w:rPr>
          <w:i w:val="0"/>
          <w:iCs w:val="0"/>
          <w:highlight w:val="none"/>
        </w:rPr>
        <w:instrText xml:space="preserve"> PAGEREF _Toc2991 \h </w:instrText>
      </w:r>
      <w:r>
        <w:rPr>
          <w:i w:val="0"/>
          <w:iCs w:val="0"/>
          <w:highlight w:val="none"/>
        </w:rPr>
        <w:fldChar w:fldCharType="separate"/>
      </w:r>
      <w:r>
        <w:rPr>
          <w:i w:val="0"/>
          <w:iCs w:val="0"/>
          <w:highlight w:val="none"/>
        </w:rPr>
        <w:t xml:space="preserve">３</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_Toc30085 </w:instrText>
      </w:r>
      <w:r>
        <w:rPr>
          <w:rFonts w:hint="eastAsia" w:eastAsia="仿宋_GB2312"/>
          <w:i w:val="0"/>
          <w:iCs w:val="0"/>
          <w:highlight w:val="none"/>
        </w:rPr>
        <w:fldChar w:fldCharType="separate"/>
      </w:r>
      <w:r>
        <w:rPr>
          <w:rFonts w:hint="eastAsia"/>
          <w:i w:val="0"/>
          <w:iCs w:val="0"/>
          <w:highlight w:val="none"/>
        </w:rPr>
        <w:t xml:space="preserve">三、获取招标文件</w:t>
      </w:r>
      <w:r>
        <w:rPr>
          <w:i w:val="0"/>
          <w:iCs w:val="0"/>
          <w:highlight w:val="none"/>
        </w:rPr>
        <w:tab/>
      </w:r>
      <w:r>
        <w:rPr>
          <w:i w:val="0"/>
          <w:iCs w:val="0"/>
          <w:highlight w:val="none"/>
        </w:rPr>
        <w:fldChar w:fldCharType="begin"/>
      </w:r>
      <w:r>
        <w:rPr>
          <w:i w:val="0"/>
          <w:iCs w:val="0"/>
          <w:highlight w:val="none"/>
        </w:rPr>
        <w:instrText xml:space="preserve"> PAGEREF _Toc30085 \h </w:instrText>
      </w:r>
      <w:r>
        <w:rPr>
          <w:i w:val="0"/>
          <w:iCs w:val="0"/>
          <w:highlight w:val="none"/>
        </w:rPr>
        <w:fldChar w:fldCharType="separate"/>
      </w:r>
      <w:r>
        <w:rPr>
          <w:i w:val="0"/>
          <w:iCs w:val="0"/>
          <w:highlight w:val="none"/>
        </w:rPr>
        <w:t xml:space="preserve">４</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_Toc8125 </w:instrText>
      </w:r>
      <w:r>
        <w:rPr>
          <w:rFonts w:hint="eastAsia" w:eastAsia="仿宋_GB2312"/>
          <w:i w:val="0"/>
          <w:iCs w:val="0"/>
          <w:highlight w:val="none"/>
        </w:rPr>
        <w:fldChar w:fldCharType="separate"/>
      </w:r>
      <w:r>
        <w:rPr>
          <w:rFonts w:hint="eastAsia"/>
          <w:i w:val="0"/>
          <w:iCs w:val="0"/>
          <w:highlight w:val="none"/>
        </w:rPr>
        <w:t xml:space="preserve">四、提交投标文件截止时间、开标时间和地点</w:t>
      </w:r>
      <w:r>
        <w:rPr>
          <w:i w:val="0"/>
          <w:iCs w:val="0"/>
          <w:highlight w:val="none"/>
        </w:rPr>
        <w:tab/>
      </w:r>
      <w:r>
        <w:rPr>
          <w:i w:val="0"/>
          <w:iCs w:val="0"/>
          <w:highlight w:val="none"/>
        </w:rPr>
        <w:fldChar w:fldCharType="begin"/>
      </w:r>
      <w:r>
        <w:rPr>
          <w:i w:val="0"/>
          <w:iCs w:val="0"/>
          <w:highlight w:val="none"/>
        </w:rPr>
        <w:instrText xml:space="preserve"> PAGEREF _Toc8125 \h </w:instrText>
      </w:r>
      <w:r>
        <w:rPr>
          <w:i w:val="0"/>
          <w:iCs w:val="0"/>
          <w:highlight w:val="none"/>
        </w:rPr>
        <w:fldChar w:fldCharType="separate"/>
      </w:r>
      <w:r>
        <w:rPr>
          <w:i w:val="0"/>
          <w:iCs w:val="0"/>
          <w:highlight w:val="none"/>
        </w:rPr>
        <w:t xml:space="preserve">４</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_Toc10266 </w:instrText>
      </w:r>
      <w:r>
        <w:rPr>
          <w:rFonts w:hint="eastAsia" w:eastAsia="仿宋_GB2312"/>
          <w:i w:val="0"/>
          <w:iCs w:val="0"/>
          <w:highlight w:val="none"/>
        </w:rPr>
        <w:fldChar w:fldCharType="separate"/>
      </w:r>
      <w:r>
        <w:rPr>
          <w:rFonts w:hint="eastAsia"/>
          <w:i w:val="0"/>
          <w:iCs w:val="0"/>
          <w:highlight w:val="none"/>
        </w:rPr>
        <w:t xml:space="preserve">五、公告期限</w:t>
      </w:r>
      <w:r>
        <w:rPr>
          <w:i w:val="0"/>
          <w:iCs w:val="0"/>
          <w:highlight w:val="none"/>
        </w:rPr>
        <w:tab/>
      </w:r>
      <w:r>
        <w:rPr>
          <w:i w:val="0"/>
          <w:iCs w:val="0"/>
          <w:highlight w:val="none"/>
        </w:rPr>
        <w:fldChar w:fldCharType="begin"/>
      </w:r>
      <w:r>
        <w:rPr>
          <w:i w:val="0"/>
          <w:iCs w:val="0"/>
          <w:highlight w:val="none"/>
        </w:rPr>
        <w:instrText xml:space="preserve"> PAGEREF _Toc10266 \h </w:instrText>
      </w:r>
      <w:r>
        <w:rPr>
          <w:i w:val="0"/>
          <w:iCs w:val="0"/>
          <w:highlight w:val="none"/>
        </w:rPr>
        <w:fldChar w:fldCharType="separate"/>
      </w:r>
      <w:r>
        <w:rPr>
          <w:i w:val="0"/>
          <w:iCs w:val="0"/>
          <w:highlight w:val="none"/>
        </w:rPr>
        <w:t xml:space="preserve">４</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_Toc32619 </w:instrText>
      </w:r>
      <w:r>
        <w:rPr>
          <w:rFonts w:hint="eastAsia" w:eastAsia="仿宋_GB2312"/>
          <w:i w:val="0"/>
          <w:iCs w:val="0"/>
          <w:highlight w:val="none"/>
        </w:rPr>
        <w:fldChar w:fldCharType="separate"/>
      </w:r>
      <w:r>
        <w:rPr>
          <w:rFonts w:hint="eastAsia"/>
          <w:i w:val="0"/>
          <w:iCs w:val="0"/>
          <w:highlight w:val="none"/>
        </w:rPr>
        <w:t xml:space="preserve">六、其他补充事宜</w:t>
      </w:r>
      <w:r>
        <w:rPr>
          <w:i w:val="0"/>
          <w:iCs w:val="0"/>
          <w:highlight w:val="none"/>
        </w:rPr>
        <w:tab/>
      </w:r>
      <w:r>
        <w:rPr>
          <w:i w:val="0"/>
          <w:iCs w:val="0"/>
          <w:highlight w:val="none"/>
        </w:rPr>
        <w:fldChar w:fldCharType="begin"/>
      </w:r>
      <w:r>
        <w:rPr>
          <w:i w:val="0"/>
          <w:iCs w:val="0"/>
          <w:highlight w:val="none"/>
        </w:rPr>
        <w:instrText xml:space="preserve"> PAGEREF _Toc32619 \h </w:instrText>
      </w:r>
      <w:r>
        <w:rPr>
          <w:i w:val="0"/>
          <w:iCs w:val="0"/>
          <w:highlight w:val="none"/>
        </w:rPr>
        <w:fldChar w:fldCharType="separate"/>
      </w:r>
      <w:r>
        <w:rPr>
          <w:i w:val="0"/>
          <w:iCs w:val="0"/>
          <w:highlight w:val="none"/>
        </w:rPr>
        <w:t xml:space="preserve">４</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_Toc22509 </w:instrText>
      </w:r>
      <w:r>
        <w:rPr>
          <w:rFonts w:hint="eastAsia" w:eastAsia="仿宋_GB2312"/>
          <w:i w:val="0"/>
          <w:iCs w:val="0"/>
          <w:highlight w:val="none"/>
        </w:rPr>
        <w:fldChar w:fldCharType="separate"/>
      </w:r>
      <w:r>
        <w:rPr>
          <w:rFonts w:hint="eastAsia"/>
          <w:i w:val="0"/>
          <w:iCs w:val="0"/>
          <w:highlight w:val="none"/>
        </w:rPr>
        <w:t xml:space="preserve">七、本次招标联系方式</w:t>
      </w:r>
      <w:r>
        <w:rPr>
          <w:i w:val="0"/>
          <w:iCs w:val="0"/>
          <w:highlight w:val="none"/>
        </w:rPr>
        <w:tab/>
      </w:r>
      <w:r>
        <w:rPr>
          <w:i w:val="0"/>
          <w:iCs w:val="0"/>
          <w:highlight w:val="none"/>
        </w:rPr>
        <w:fldChar w:fldCharType="begin"/>
      </w:r>
      <w:r>
        <w:rPr>
          <w:i w:val="0"/>
          <w:iCs w:val="0"/>
          <w:highlight w:val="none"/>
        </w:rPr>
        <w:instrText xml:space="preserve"> PAGEREF _Toc22509 \h </w:instrText>
      </w:r>
      <w:r>
        <w:rPr>
          <w:i w:val="0"/>
          <w:iCs w:val="0"/>
          <w:highlight w:val="none"/>
        </w:rPr>
        <w:fldChar w:fldCharType="separate"/>
      </w:r>
      <w:r>
        <w:rPr>
          <w:i w:val="0"/>
          <w:iCs w:val="0"/>
          <w:highlight w:val="none"/>
        </w:rPr>
        <w:t xml:space="preserve">５</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_Toc25585 </w:instrText>
      </w:r>
      <w:r>
        <w:rPr>
          <w:rFonts w:hint="eastAsia" w:eastAsia="仿宋_GB2312"/>
          <w:i w:val="0"/>
          <w:iCs w:val="0"/>
          <w:highlight w:val="none"/>
        </w:rPr>
        <w:fldChar w:fldCharType="separate"/>
      </w:r>
      <w:r>
        <w:rPr>
          <w:rFonts w:hint="eastAsia"/>
          <w:i w:val="0"/>
          <w:iCs w:val="0"/>
          <w:highlight w:val="none"/>
        </w:rPr>
        <w:t xml:space="preserve">八、其他</w:t>
      </w:r>
      <w:r>
        <w:rPr>
          <w:i w:val="0"/>
          <w:iCs w:val="0"/>
          <w:highlight w:val="none"/>
        </w:rPr>
        <w:tab/>
      </w:r>
      <w:r>
        <w:rPr>
          <w:i w:val="0"/>
          <w:iCs w:val="0"/>
          <w:highlight w:val="none"/>
        </w:rPr>
        <w:fldChar w:fldCharType="begin"/>
      </w:r>
      <w:r>
        <w:rPr>
          <w:i w:val="0"/>
          <w:iCs w:val="0"/>
          <w:highlight w:val="none"/>
        </w:rPr>
        <w:instrText xml:space="preserve"> PAGEREF _Toc25585 \h </w:instrText>
      </w:r>
      <w:r>
        <w:rPr>
          <w:i w:val="0"/>
          <w:iCs w:val="0"/>
          <w:highlight w:val="none"/>
        </w:rPr>
        <w:fldChar w:fldCharType="separate"/>
      </w:r>
      <w:r>
        <w:rPr>
          <w:i w:val="0"/>
          <w:iCs w:val="0"/>
          <w:highlight w:val="none"/>
        </w:rPr>
        <w:t xml:space="preserve">５</w:t>
      </w:r>
      <w:r>
        <w:rPr>
          <w:i w:val="0"/>
          <w:iCs w:val="0"/>
          <w:highlight w:val="none"/>
        </w:rPr>
        <w:fldChar w:fldCharType="end"/>
      </w:r>
      <w:r>
        <w:rPr>
          <w:rFonts w:hint="eastAsia" w:eastAsia="仿宋_GB2312"/>
          <w:i w:val="0"/>
          <w:iCs w:val="0"/>
          <w:highlight w:val="none"/>
        </w:rPr>
        <w:fldChar w:fldCharType="end"/>
      </w:r>
      <w:r>
        <w:rPr>
          <w:highlight w:val="none"/>
        </w:rPr>
      </w:r>
      <w:r/>
    </w:p>
    <w:p>
      <w:pPr>
        <w:pStyle w:val="722"/>
        <w:tabs>
          <w:tab w:val="right" w:pos="8953" w:leader="dot"/>
        </w:tabs>
        <w:rPr>
          <w:highlight w:val="none"/>
        </w:rPr>
      </w:pPr>
      <w:r>
        <w:rPr>
          <w:rFonts w:hint="eastAsia" w:eastAsia="仿宋_GB2312"/>
          <w:highlight w:val="none"/>
        </w:rPr>
        <w:fldChar w:fldCharType="begin"/>
      </w:r>
      <w:r>
        <w:rPr>
          <w:rFonts w:hint="eastAsia" w:eastAsia="仿宋_GB2312"/>
          <w:highlight w:val="none"/>
        </w:rPr>
        <w:instrText xml:space="preserve"> HYPERLINK \l _Toc11385 </w:instrText>
      </w:r>
      <w:r>
        <w:rPr>
          <w:rFonts w:hint="eastAsia" w:eastAsia="仿宋_GB2312"/>
          <w:highlight w:val="none"/>
        </w:rPr>
        <w:fldChar w:fldCharType="separate"/>
      </w:r>
      <w:r>
        <w:rPr>
          <w:rFonts w:hint="eastAsia" w:eastAsia="黑体"/>
          <w:highlight w:val="none"/>
        </w:rPr>
        <w:t xml:space="preserve">第二章  投标人须知</w:t>
      </w:r>
      <w:r>
        <w:rPr>
          <w:highlight w:val="none"/>
        </w:rPr>
        <w:tab/>
      </w:r>
      <w:r>
        <w:rPr>
          <w:highlight w:val="none"/>
        </w:rPr>
        <w:fldChar w:fldCharType="begin"/>
      </w:r>
      <w:r>
        <w:rPr>
          <w:highlight w:val="none"/>
        </w:rPr>
        <w:instrText xml:space="preserve"> PAGEREF _Toc11385 \h </w:instrText>
      </w:r>
      <w:r>
        <w:rPr>
          <w:highlight w:val="none"/>
        </w:rPr>
        <w:fldChar w:fldCharType="separate"/>
      </w:r>
      <w:r>
        <w:rPr>
          <w:highlight w:val="none"/>
        </w:rPr>
        <w:t xml:space="preserve">５</w:t>
      </w:r>
      <w:r>
        <w:rPr>
          <w:highlight w:val="none"/>
        </w:rPr>
        <w:fldChar w:fldCharType="end"/>
      </w:r>
      <w:r>
        <w:rPr>
          <w:rFonts w:hint="eastAsia" w:eastAsia="仿宋_GB2312"/>
          <w:highlight w:val="none"/>
        </w:rPr>
        <w:fldChar w:fldCharType="end"/>
      </w:r>
      <w:r>
        <w:rPr>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_Toc17816 </w:instrText>
      </w:r>
      <w:r>
        <w:rPr>
          <w:rFonts w:hint="eastAsia" w:eastAsia="仿宋_GB2312"/>
          <w:i w:val="0"/>
          <w:iCs w:val="0"/>
          <w:highlight w:val="none"/>
        </w:rPr>
        <w:fldChar w:fldCharType="separate"/>
      </w:r>
      <w:r>
        <w:rPr>
          <w:rFonts w:hint="eastAsia"/>
          <w:i w:val="0"/>
          <w:iCs w:val="0"/>
          <w:highlight w:val="none"/>
        </w:rPr>
        <w:t xml:space="preserve">一、总则</w:t>
      </w:r>
      <w:r>
        <w:rPr>
          <w:i w:val="0"/>
          <w:iCs w:val="0"/>
          <w:highlight w:val="none"/>
        </w:rPr>
        <w:tab/>
      </w:r>
      <w:r>
        <w:rPr>
          <w:i w:val="0"/>
          <w:iCs w:val="0"/>
          <w:highlight w:val="none"/>
        </w:rPr>
        <w:fldChar w:fldCharType="begin"/>
      </w:r>
      <w:r>
        <w:rPr>
          <w:i w:val="0"/>
          <w:iCs w:val="0"/>
          <w:highlight w:val="none"/>
        </w:rPr>
        <w:instrText xml:space="preserve"> PAGEREF _Toc17816 \h </w:instrText>
      </w:r>
      <w:r>
        <w:rPr>
          <w:i w:val="0"/>
          <w:iCs w:val="0"/>
          <w:highlight w:val="none"/>
        </w:rPr>
        <w:fldChar w:fldCharType="separate"/>
      </w:r>
      <w:r>
        <w:rPr>
          <w:i w:val="0"/>
          <w:iCs w:val="0"/>
          <w:highlight w:val="none"/>
        </w:rPr>
        <w:t xml:space="preserve">５</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_Toc14536 </w:instrText>
      </w:r>
      <w:r>
        <w:rPr>
          <w:rFonts w:hint="eastAsia" w:eastAsia="仿宋_GB2312"/>
          <w:i w:val="0"/>
          <w:iCs w:val="0"/>
          <w:highlight w:val="none"/>
        </w:rPr>
        <w:fldChar w:fldCharType="separate"/>
      </w:r>
      <w:r>
        <w:rPr>
          <w:rFonts w:hint="eastAsia"/>
          <w:i w:val="0"/>
          <w:iCs w:val="0"/>
          <w:highlight w:val="none"/>
        </w:rPr>
        <w:t xml:space="preserve">二、招标文件</w:t>
      </w:r>
      <w:r>
        <w:rPr>
          <w:i w:val="0"/>
          <w:iCs w:val="0"/>
          <w:highlight w:val="none"/>
        </w:rPr>
        <w:tab/>
      </w:r>
      <w:r>
        <w:rPr>
          <w:i w:val="0"/>
          <w:iCs w:val="0"/>
          <w:highlight w:val="none"/>
        </w:rPr>
        <w:fldChar w:fldCharType="begin"/>
      </w:r>
      <w:r>
        <w:rPr>
          <w:i w:val="0"/>
          <w:iCs w:val="0"/>
          <w:highlight w:val="none"/>
        </w:rPr>
        <w:instrText xml:space="preserve"> PAGEREF _Toc14536 \h </w:instrText>
      </w:r>
      <w:r>
        <w:rPr>
          <w:i w:val="0"/>
          <w:iCs w:val="0"/>
          <w:highlight w:val="none"/>
        </w:rPr>
        <w:fldChar w:fldCharType="separate"/>
      </w:r>
      <w:r>
        <w:rPr>
          <w:i w:val="0"/>
          <w:iCs w:val="0"/>
          <w:highlight w:val="none"/>
        </w:rPr>
        <w:t xml:space="preserve">６</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_Toc8062 </w:instrText>
      </w:r>
      <w:r>
        <w:rPr>
          <w:rFonts w:hint="eastAsia" w:eastAsia="仿宋_GB2312"/>
          <w:i w:val="0"/>
          <w:iCs w:val="0"/>
          <w:highlight w:val="none"/>
        </w:rPr>
        <w:fldChar w:fldCharType="separate"/>
      </w:r>
      <w:r>
        <w:rPr>
          <w:rFonts w:hint="eastAsia"/>
          <w:i w:val="0"/>
          <w:iCs w:val="0"/>
          <w:highlight w:val="none"/>
        </w:rPr>
        <w:t xml:space="preserve">三、投标文件的编制</w:t>
      </w:r>
      <w:r>
        <w:rPr>
          <w:i w:val="0"/>
          <w:iCs w:val="0"/>
          <w:highlight w:val="none"/>
        </w:rPr>
        <w:tab/>
      </w:r>
      <w:r>
        <w:rPr>
          <w:i w:val="0"/>
          <w:iCs w:val="0"/>
          <w:highlight w:val="none"/>
        </w:rPr>
        <w:fldChar w:fldCharType="begin"/>
      </w:r>
      <w:r>
        <w:rPr>
          <w:i w:val="0"/>
          <w:iCs w:val="0"/>
          <w:highlight w:val="none"/>
        </w:rPr>
        <w:instrText xml:space="preserve"> PAGEREF _Toc8062 \h </w:instrText>
      </w:r>
      <w:r>
        <w:rPr>
          <w:i w:val="0"/>
          <w:iCs w:val="0"/>
          <w:highlight w:val="none"/>
        </w:rPr>
        <w:fldChar w:fldCharType="separate"/>
      </w:r>
      <w:r>
        <w:rPr>
          <w:i w:val="0"/>
          <w:iCs w:val="0"/>
          <w:highlight w:val="none"/>
        </w:rPr>
        <w:t xml:space="preserve">７</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_Toc30397 </w:instrText>
      </w:r>
      <w:r>
        <w:rPr>
          <w:rFonts w:hint="eastAsia" w:eastAsia="仿宋_GB2312"/>
          <w:i w:val="0"/>
          <w:iCs w:val="0"/>
          <w:highlight w:val="none"/>
        </w:rPr>
        <w:fldChar w:fldCharType="separate"/>
      </w:r>
      <w:r>
        <w:rPr>
          <w:rFonts w:hint="eastAsia"/>
          <w:i w:val="0"/>
          <w:iCs w:val="0"/>
          <w:highlight w:val="none"/>
        </w:rPr>
        <w:t xml:space="preserve">四、投标文件的递交</w:t>
      </w:r>
      <w:r>
        <w:rPr>
          <w:i w:val="0"/>
          <w:iCs w:val="0"/>
          <w:highlight w:val="none"/>
        </w:rPr>
        <w:tab/>
      </w:r>
      <w:r>
        <w:rPr>
          <w:i w:val="0"/>
          <w:iCs w:val="0"/>
          <w:highlight w:val="none"/>
        </w:rPr>
        <w:fldChar w:fldCharType="begin"/>
      </w:r>
      <w:r>
        <w:rPr>
          <w:i w:val="0"/>
          <w:iCs w:val="0"/>
          <w:highlight w:val="none"/>
        </w:rPr>
        <w:instrText xml:space="preserve"> PAGEREF _Toc30397 \h </w:instrText>
      </w:r>
      <w:r>
        <w:rPr>
          <w:i w:val="0"/>
          <w:iCs w:val="0"/>
          <w:highlight w:val="none"/>
        </w:rPr>
        <w:fldChar w:fldCharType="separate"/>
      </w:r>
      <w:r>
        <w:rPr>
          <w:i w:val="0"/>
          <w:iCs w:val="0"/>
          <w:highlight w:val="none"/>
        </w:rPr>
        <w:t xml:space="preserve">１０</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_Toc10832 </w:instrText>
      </w:r>
      <w:r>
        <w:rPr>
          <w:rFonts w:hint="eastAsia" w:eastAsia="仿宋_GB2312"/>
          <w:i w:val="0"/>
          <w:iCs w:val="0"/>
          <w:highlight w:val="none"/>
        </w:rPr>
        <w:fldChar w:fldCharType="separate"/>
      </w:r>
      <w:r>
        <w:rPr>
          <w:rFonts w:hint="eastAsia"/>
          <w:i w:val="0"/>
          <w:iCs w:val="0"/>
          <w:highlight w:val="none"/>
        </w:rPr>
        <w:t xml:space="preserve">五、开标与评标</w:t>
      </w:r>
      <w:r>
        <w:rPr>
          <w:i w:val="0"/>
          <w:iCs w:val="0"/>
          <w:highlight w:val="none"/>
        </w:rPr>
        <w:tab/>
      </w:r>
      <w:r>
        <w:rPr>
          <w:i w:val="0"/>
          <w:iCs w:val="0"/>
          <w:highlight w:val="none"/>
        </w:rPr>
        <w:fldChar w:fldCharType="begin"/>
      </w:r>
      <w:r>
        <w:rPr>
          <w:i w:val="0"/>
          <w:iCs w:val="0"/>
          <w:highlight w:val="none"/>
        </w:rPr>
        <w:instrText xml:space="preserve"> PAGEREF _Toc10832 \h </w:instrText>
      </w:r>
      <w:r>
        <w:rPr>
          <w:i w:val="0"/>
          <w:iCs w:val="0"/>
          <w:highlight w:val="none"/>
        </w:rPr>
        <w:fldChar w:fldCharType="separate"/>
      </w:r>
      <w:r>
        <w:rPr>
          <w:i w:val="0"/>
          <w:iCs w:val="0"/>
          <w:highlight w:val="none"/>
        </w:rPr>
        <w:t xml:space="preserve">１１</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_Toc4439 </w:instrText>
      </w:r>
      <w:r>
        <w:rPr>
          <w:rFonts w:hint="eastAsia" w:eastAsia="仿宋_GB2312"/>
          <w:i w:val="0"/>
          <w:iCs w:val="0"/>
          <w:highlight w:val="none"/>
        </w:rPr>
        <w:fldChar w:fldCharType="separate"/>
      </w:r>
      <w:r>
        <w:rPr>
          <w:rFonts w:hint="eastAsia"/>
          <w:i w:val="0"/>
          <w:iCs w:val="0"/>
          <w:highlight w:val="none"/>
        </w:rPr>
        <w:t xml:space="preserve">六、定标</w:t>
      </w:r>
      <w:r>
        <w:rPr>
          <w:i w:val="0"/>
          <w:iCs w:val="0"/>
          <w:highlight w:val="none"/>
        </w:rPr>
        <w:tab/>
      </w:r>
      <w:r>
        <w:rPr>
          <w:i w:val="0"/>
          <w:iCs w:val="0"/>
          <w:highlight w:val="none"/>
        </w:rPr>
        <w:fldChar w:fldCharType="begin"/>
      </w:r>
      <w:r>
        <w:rPr>
          <w:i w:val="0"/>
          <w:iCs w:val="0"/>
          <w:highlight w:val="none"/>
        </w:rPr>
        <w:instrText xml:space="preserve"> PAGEREF _Toc4439 \h </w:instrText>
      </w:r>
      <w:r>
        <w:rPr>
          <w:i w:val="0"/>
          <w:iCs w:val="0"/>
          <w:highlight w:val="none"/>
        </w:rPr>
        <w:fldChar w:fldCharType="separate"/>
      </w:r>
      <w:r>
        <w:rPr>
          <w:i w:val="0"/>
          <w:iCs w:val="0"/>
          <w:highlight w:val="none"/>
        </w:rPr>
        <w:t xml:space="preserve">１７</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_Toc3566 </w:instrText>
      </w:r>
      <w:r>
        <w:rPr>
          <w:rFonts w:hint="eastAsia" w:eastAsia="仿宋_GB2312"/>
          <w:i w:val="0"/>
          <w:iCs w:val="0"/>
          <w:highlight w:val="none"/>
        </w:rPr>
        <w:fldChar w:fldCharType="separate"/>
      </w:r>
      <w:r>
        <w:rPr>
          <w:rFonts w:hint="eastAsia"/>
          <w:i w:val="0"/>
          <w:iCs w:val="0"/>
          <w:highlight w:val="none"/>
        </w:rPr>
        <w:t xml:space="preserve">七、授予合同</w:t>
      </w:r>
      <w:r>
        <w:rPr>
          <w:i w:val="0"/>
          <w:iCs w:val="0"/>
          <w:highlight w:val="none"/>
        </w:rPr>
        <w:tab/>
      </w:r>
      <w:r>
        <w:rPr>
          <w:i w:val="0"/>
          <w:iCs w:val="0"/>
          <w:highlight w:val="none"/>
        </w:rPr>
        <w:fldChar w:fldCharType="begin"/>
      </w:r>
      <w:r>
        <w:rPr>
          <w:i w:val="0"/>
          <w:iCs w:val="0"/>
          <w:highlight w:val="none"/>
        </w:rPr>
        <w:instrText xml:space="preserve"> PAGEREF _Toc3566 \h </w:instrText>
      </w:r>
      <w:r>
        <w:rPr>
          <w:i w:val="0"/>
          <w:iCs w:val="0"/>
          <w:highlight w:val="none"/>
        </w:rPr>
        <w:fldChar w:fldCharType="separate"/>
      </w:r>
      <w:r>
        <w:rPr>
          <w:i w:val="0"/>
          <w:iCs w:val="0"/>
          <w:highlight w:val="none"/>
        </w:rPr>
        <w:t xml:space="preserve">１９</w:t>
      </w:r>
      <w:r>
        <w:rPr>
          <w:i w:val="0"/>
          <w:iCs w:val="0"/>
          <w:highlight w:val="none"/>
        </w:rPr>
        <w:fldChar w:fldCharType="end"/>
      </w:r>
      <w:r>
        <w:rPr>
          <w:rFonts w:hint="eastAsia" w:eastAsia="仿宋_GB2312"/>
          <w:i w:val="0"/>
          <w:iCs w:val="0"/>
          <w:highlight w:val="none"/>
        </w:rPr>
        <w:fldChar w:fldCharType="end"/>
      </w:r>
      <w:r>
        <w:rPr>
          <w:highlight w:val="none"/>
        </w:rPr>
      </w:r>
      <w:r/>
    </w:p>
    <w:p>
      <w:pPr>
        <w:pStyle w:val="715"/>
        <w:tabs>
          <w:tab w:val="right" w:pos="8953" w:leader="dot"/>
        </w:tabs>
        <w:rPr>
          <w:highlight w:val="none"/>
        </w:rPr>
      </w:pPr>
      <w:r>
        <w:rPr>
          <w:rFonts w:hint="eastAsia" w:eastAsia="仿宋_GB2312"/>
          <w:highlight w:val="none"/>
        </w:rPr>
        <w:fldChar w:fldCharType="begin"/>
      </w:r>
      <w:r>
        <w:rPr>
          <w:rFonts w:hint="eastAsia" w:eastAsia="仿宋_GB2312"/>
          <w:highlight w:val="none"/>
        </w:rPr>
        <w:instrText xml:space="preserve"> HYPERLINK \l _Toc7763 </w:instrText>
      </w:r>
      <w:r>
        <w:rPr>
          <w:rFonts w:hint="eastAsia" w:eastAsia="仿宋_GB2312"/>
          <w:highlight w:val="none"/>
        </w:rPr>
        <w:fldChar w:fldCharType="separate"/>
      </w:r>
      <w:r>
        <w:rPr>
          <w:rFonts w:hint="eastAsia" w:eastAsia="黑体"/>
          <w:bCs/>
          <w:szCs w:val="28"/>
          <w:highlight w:val="none"/>
        </w:rPr>
        <w:t xml:space="preserve">第三章  合同文本</w:t>
      </w:r>
      <w:r>
        <w:rPr>
          <w:highlight w:val="none"/>
        </w:rPr>
        <w:tab/>
      </w:r>
      <w:r>
        <w:rPr>
          <w:highlight w:val="none"/>
        </w:rPr>
        <w:fldChar w:fldCharType="begin"/>
      </w:r>
      <w:r>
        <w:rPr>
          <w:highlight w:val="none"/>
        </w:rPr>
        <w:instrText xml:space="preserve"> PAGEREF _Toc7763 \h </w:instrText>
      </w:r>
      <w:r>
        <w:rPr>
          <w:highlight w:val="none"/>
        </w:rPr>
        <w:fldChar w:fldCharType="separate"/>
      </w:r>
      <w:r>
        <w:rPr>
          <w:highlight w:val="none"/>
        </w:rPr>
        <w:t xml:space="preserve">２３</w:t>
      </w:r>
      <w:r>
        <w:rPr>
          <w:highlight w:val="none"/>
        </w:rPr>
        <w:fldChar w:fldCharType="end"/>
      </w:r>
      <w:r>
        <w:rPr>
          <w:rFonts w:hint="eastAsia" w:eastAsia="仿宋_GB2312"/>
          <w:highlight w:val="none"/>
        </w:rPr>
        <w:fldChar w:fldCharType="end"/>
      </w:r>
      <w:r>
        <w:rPr>
          <w:highlight w:val="none"/>
        </w:rPr>
      </w:r>
      <w:r/>
    </w:p>
    <w:p>
      <w:pPr>
        <w:pStyle w:val="715"/>
        <w:tabs>
          <w:tab w:val="right" w:pos="8953" w:leader="dot"/>
        </w:tabs>
        <w:rPr>
          <w:highlight w:val="none"/>
        </w:rPr>
      </w:pPr>
      <w:r>
        <w:rPr>
          <w:rFonts w:hint="eastAsia" w:eastAsia="仿宋_GB2312"/>
          <w:highlight w:val="none"/>
        </w:rPr>
        <w:fldChar w:fldCharType="begin"/>
      </w:r>
      <w:r>
        <w:rPr>
          <w:rFonts w:hint="eastAsia" w:eastAsia="仿宋_GB2312"/>
          <w:highlight w:val="none"/>
        </w:rPr>
        <w:instrText xml:space="preserve"> HYPERLINK \l _Toc18712 </w:instrText>
      </w:r>
      <w:r>
        <w:rPr>
          <w:rFonts w:hint="eastAsia" w:eastAsia="仿宋_GB2312"/>
          <w:highlight w:val="none"/>
        </w:rPr>
        <w:fldChar w:fldCharType="separate"/>
      </w:r>
      <w:r>
        <w:rPr>
          <w:rFonts w:hint="eastAsia" w:ascii="Times New Roman" w:eastAsia="黑体"/>
          <w:bCs/>
          <w:highlight w:val="none"/>
        </w:rPr>
        <w:t xml:space="preserve">第</w:t>
      </w:r>
      <w:r>
        <w:rPr>
          <w:rFonts w:hint="eastAsia" w:ascii="Times New Roman" w:eastAsia="黑体"/>
          <w:bCs/>
          <w:highlight w:val="none"/>
          <w:lang w:val="en-US" w:eastAsia="zh-CN"/>
        </w:rPr>
        <w:t xml:space="preserve">四</w:t>
      </w:r>
      <w:r>
        <w:rPr>
          <w:rFonts w:hint="eastAsia" w:ascii="Times New Roman" w:eastAsia="黑体"/>
          <w:bCs/>
          <w:highlight w:val="none"/>
        </w:rPr>
        <w:t xml:space="preserve">章  </w:t>
      </w:r>
      <w:r>
        <w:rPr>
          <w:rFonts w:hint="eastAsia" w:ascii="Times New Roman" w:eastAsia="黑体"/>
          <w:bCs/>
          <w:highlight w:val="none"/>
          <w:lang w:val="en-US" w:eastAsia="zh-CN"/>
        </w:rPr>
        <w:t xml:space="preserve">采购需求</w:t>
      </w:r>
      <w:r>
        <w:rPr>
          <w:highlight w:val="none"/>
        </w:rPr>
        <w:tab/>
      </w:r>
      <w:r>
        <w:rPr>
          <w:highlight w:val="none"/>
        </w:rPr>
        <w:fldChar w:fldCharType="begin"/>
      </w:r>
      <w:r>
        <w:rPr>
          <w:highlight w:val="none"/>
        </w:rPr>
        <w:instrText xml:space="preserve"> PAGEREF _Toc18712 \h </w:instrText>
      </w:r>
      <w:r>
        <w:rPr>
          <w:highlight w:val="none"/>
        </w:rPr>
        <w:fldChar w:fldCharType="separate"/>
      </w:r>
      <w:r>
        <w:rPr>
          <w:highlight w:val="none"/>
        </w:rPr>
        <w:t xml:space="preserve">３８</w:t>
      </w:r>
      <w:r>
        <w:rPr>
          <w:highlight w:val="none"/>
        </w:rPr>
        <w:fldChar w:fldCharType="end"/>
      </w:r>
      <w:r>
        <w:rPr>
          <w:rFonts w:hint="eastAsia" w:eastAsia="仿宋_GB2312"/>
          <w:highlight w:val="none"/>
        </w:rPr>
        <w:fldChar w:fldCharType="end"/>
      </w:r>
      <w:r>
        <w:rPr>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_Toc10651 </w:instrText>
      </w:r>
      <w:r>
        <w:rPr>
          <w:rFonts w:hint="eastAsia" w:eastAsia="仿宋_GB2312"/>
          <w:i w:val="0"/>
          <w:iCs w:val="0"/>
          <w:highlight w:val="none"/>
        </w:rPr>
        <w:fldChar w:fldCharType="separate"/>
      </w:r>
      <w:r>
        <w:rPr>
          <w:rFonts w:hint="eastAsia"/>
          <w:bCs/>
          <w:i w:val="0"/>
          <w:iCs w:val="0"/>
          <w:highlight w:val="none"/>
        </w:rPr>
        <w:t xml:space="preserve">一、项目概况</w:t>
      </w:r>
      <w:r>
        <w:rPr>
          <w:i w:val="0"/>
          <w:iCs w:val="0"/>
          <w:highlight w:val="none"/>
        </w:rPr>
        <w:tab/>
      </w:r>
      <w:r>
        <w:rPr>
          <w:i w:val="0"/>
          <w:iCs w:val="0"/>
          <w:highlight w:val="none"/>
        </w:rPr>
        <w:fldChar w:fldCharType="begin"/>
      </w:r>
      <w:r>
        <w:rPr>
          <w:i w:val="0"/>
          <w:iCs w:val="0"/>
          <w:highlight w:val="none"/>
        </w:rPr>
        <w:instrText xml:space="preserve"> PAGEREF _Toc10651 \h </w:instrText>
      </w:r>
      <w:r>
        <w:rPr>
          <w:i w:val="0"/>
          <w:iCs w:val="0"/>
          <w:highlight w:val="none"/>
        </w:rPr>
        <w:fldChar w:fldCharType="separate"/>
      </w:r>
      <w:r>
        <w:rPr>
          <w:i w:val="0"/>
          <w:iCs w:val="0"/>
          <w:highlight w:val="none"/>
        </w:rPr>
        <w:t xml:space="preserve">３８</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_Toc18321 </w:instrText>
      </w:r>
      <w:r>
        <w:rPr>
          <w:rFonts w:hint="eastAsia" w:eastAsia="仿宋_GB2312"/>
          <w:i w:val="0"/>
          <w:iCs w:val="0"/>
          <w:highlight w:val="none"/>
        </w:rPr>
        <w:fldChar w:fldCharType="separate"/>
      </w:r>
      <w:r>
        <w:rPr>
          <w:rFonts w:hint="eastAsia"/>
          <w:bCs/>
          <w:i w:val="0"/>
          <w:iCs w:val="0"/>
          <w:highlight w:val="none"/>
        </w:rPr>
        <w:t xml:space="preserve">二、合同履行期限、地点及要求</w:t>
      </w:r>
      <w:r>
        <w:rPr>
          <w:i w:val="0"/>
          <w:iCs w:val="0"/>
          <w:highlight w:val="none"/>
        </w:rPr>
        <w:tab/>
      </w:r>
      <w:r>
        <w:rPr>
          <w:i w:val="0"/>
          <w:iCs w:val="0"/>
          <w:highlight w:val="none"/>
        </w:rPr>
        <w:fldChar w:fldCharType="begin"/>
      </w:r>
      <w:r>
        <w:rPr>
          <w:i w:val="0"/>
          <w:iCs w:val="0"/>
          <w:highlight w:val="none"/>
        </w:rPr>
        <w:instrText xml:space="preserve"> PAGEREF _Toc18321 \h </w:instrText>
      </w:r>
      <w:r>
        <w:rPr>
          <w:i w:val="0"/>
          <w:iCs w:val="0"/>
          <w:highlight w:val="none"/>
        </w:rPr>
        <w:fldChar w:fldCharType="separate"/>
      </w:r>
      <w:r>
        <w:rPr>
          <w:i w:val="0"/>
          <w:iCs w:val="0"/>
          <w:highlight w:val="none"/>
        </w:rPr>
        <w:t xml:space="preserve">３８</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_Toc18780 </w:instrText>
      </w:r>
      <w:r>
        <w:rPr>
          <w:rFonts w:hint="eastAsia" w:eastAsia="仿宋_GB2312"/>
          <w:i w:val="0"/>
          <w:iCs w:val="0"/>
          <w:highlight w:val="none"/>
        </w:rPr>
        <w:fldChar w:fldCharType="separate"/>
      </w:r>
      <w:r>
        <w:rPr>
          <w:rFonts w:hint="eastAsia"/>
          <w:bCs/>
          <w:i w:val="0"/>
          <w:iCs w:val="0"/>
          <w:highlight w:val="none"/>
        </w:rPr>
        <w:t xml:space="preserve">三、付款方式</w:t>
      </w:r>
      <w:r>
        <w:rPr>
          <w:i w:val="0"/>
          <w:iCs w:val="0"/>
          <w:highlight w:val="none"/>
        </w:rPr>
        <w:tab/>
      </w:r>
      <w:r>
        <w:rPr>
          <w:i w:val="0"/>
          <w:iCs w:val="0"/>
          <w:highlight w:val="none"/>
        </w:rPr>
        <w:fldChar w:fldCharType="begin"/>
      </w:r>
      <w:r>
        <w:rPr>
          <w:i w:val="0"/>
          <w:iCs w:val="0"/>
          <w:highlight w:val="none"/>
        </w:rPr>
        <w:instrText xml:space="preserve"> PAGEREF _Toc18780 \h </w:instrText>
      </w:r>
      <w:r>
        <w:rPr>
          <w:i w:val="0"/>
          <w:iCs w:val="0"/>
          <w:highlight w:val="none"/>
        </w:rPr>
        <w:fldChar w:fldCharType="separate"/>
      </w:r>
      <w:r>
        <w:rPr>
          <w:i w:val="0"/>
          <w:iCs w:val="0"/>
          <w:highlight w:val="none"/>
        </w:rPr>
        <w:t xml:space="preserve">３８</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_Toc8804 </w:instrText>
      </w:r>
      <w:r>
        <w:rPr>
          <w:rFonts w:hint="eastAsia" w:eastAsia="仿宋_GB2312"/>
          <w:i w:val="0"/>
          <w:iCs w:val="0"/>
          <w:highlight w:val="none"/>
        </w:rPr>
        <w:fldChar w:fldCharType="separate"/>
      </w:r>
      <w:r>
        <w:rPr>
          <w:rFonts w:hint="eastAsia"/>
          <w:bCs/>
          <w:i w:val="0"/>
          <w:iCs w:val="0"/>
          <w:highlight w:val="none"/>
        </w:rPr>
        <w:t xml:space="preserve">四</w:t>
      </w:r>
      <w:r>
        <w:rPr>
          <w:bCs/>
          <w:i w:val="0"/>
          <w:iCs w:val="0"/>
          <w:highlight w:val="none"/>
        </w:rPr>
        <w:t xml:space="preserve">、</w:t>
      </w:r>
      <w:r>
        <w:rPr>
          <w:rFonts w:hint="eastAsia"/>
          <w:bCs/>
          <w:i w:val="0"/>
          <w:iCs w:val="0"/>
          <w:highlight w:val="none"/>
        </w:rPr>
        <w:t xml:space="preserve">采购清单及技术要求</w:t>
      </w:r>
      <w:r>
        <w:rPr>
          <w:i w:val="0"/>
          <w:iCs w:val="0"/>
          <w:highlight w:val="none"/>
        </w:rPr>
        <w:tab/>
      </w:r>
      <w:r>
        <w:rPr>
          <w:i w:val="0"/>
          <w:iCs w:val="0"/>
          <w:highlight w:val="none"/>
        </w:rPr>
        <w:fldChar w:fldCharType="begin"/>
      </w:r>
      <w:r>
        <w:rPr>
          <w:i w:val="0"/>
          <w:iCs w:val="0"/>
          <w:highlight w:val="none"/>
        </w:rPr>
        <w:instrText xml:space="preserve"> PAGEREF _Toc8804 \h </w:instrText>
      </w:r>
      <w:r>
        <w:rPr>
          <w:i w:val="0"/>
          <w:iCs w:val="0"/>
          <w:highlight w:val="none"/>
        </w:rPr>
        <w:fldChar w:fldCharType="separate"/>
      </w:r>
      <w:r>
        <w:rPr>
          <w:i w:val="0"/>
          <w:iCs w:val="0"/>
          <w:highlight w:val="none"/>
        </w:rPr>
        <w:t xml:space="preserve">３９</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_Toc26565 </w:instrText>
      </w:r>
      <w:r>
        <w:rPr>
          <w:rFonts w:hint="eastAsia" w:eastAsia="仿宋_GB2312"/>
          <w:i w:val="0"/>
          <w:iCs w:val="0"/>
          <w:highlight w:val="none"/>
        </w:rPr>
        <w:fldChar w:fldCharType="separate"/>
      </w:r>
      <w:r>
        <w:rPr>
          <w:rFonts w:hint="eastAsia"/>
          <w:bCs/>
          <w:i w:val="0"/>
          <w:iCs w:val="0"/>
          <w:highlight w:val="none"/>
        </w:rPr>
        <w:t xml:space="preserve">五、服务要求</w:t>
      </w:r>
      <w:r>
        <w:rPr>
          <w:i w:val="0"/>
          <w:iCs w:val="0"/>
          <w:highlight w:val="none"/>
        </w:rPr>
        <w:tab/>
      </w:r>
      <w:r>
        <w:rPr>
          <w:i w:val="0"/>
          <w:iCs w:val="0"/>
          <w:highlight w:val="none"/>
        </w:rPr>
        <w:fldChar w:fldCharType="begin"/>
      </w:r>
      <w:r>
        <w:rPr>
          <w:i w:val="0"/>
          <w:iCs w:val="0"/>
          <w:highlight w:val="none"/>
        </w:rPr>
        <w:instrText xml:space="preserve"> PAGEREF _Toc26565 \h </w:instrText>
      </w:r>
      <w:r>
        <w:rPr>
          <w:i w:val="0"/>
          <w:iCs w:val="0"/>
          <w:highlight w:val="none"/>
        </w:rPr>
        <w:fldChar w:fldCharType="separate"/>
      </w:r>
      <w:r>
        <w:rPr>
          <w:i w:val="0"/>
          <w:iCs w:val="0"/>
          <w:highlight w:val="none"/>
        </w:rPr>
        <w:t xml:space="preserve">６６</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_Toc8995 </w:instrText>
      </w:r>
      <w:r>
        <w:rPr>
          <w:rFonts w:hint="eastAsia" w:eastAsia="仿宋_GB2312"/>
          <w:i w:val="0"/>
          <w:iCs w:val="0"/>
          <w:highlight w:val="none"/>
        </w:rPr>
        <w:fldChar w:fldCharType="separate"/>
      </w:r>
      <w:r>
        <w:rPr>
          <w:rFonts w:hint="eastAsia"/>
          <w:bCs/>
          <w:i w:val="0"/>
          <w:iCs w:val="0"/>
          <w:highlight w:val="none"/>
        </w:rPr>
        <w:t xml:space="preserve">六、商务要求</w:t>
      </w:r>
      <w:r>
        <w:rPr>
          <w:i w:val="0"/>
          <w:iCs w:val="0"/>
          <w:highlight w:val="none"/>
        </w:rPr>
        <w:tab/>
      </w:r>
      <w:r>
        <w:rPr>
          <w:i w:val="0"/>
          <w:iCs w:val="0"/>
          <w:highlight w:val="none"/>
        </w:rPr>
        <w:fldChar w:fldCharType="begin"/>
      </w:r>
      <w:r>
        <w:rPr>
          <w:i w:val="0"/>
          <w:iCs w:val="0"/>
          <w:highlight w:val="none"/>
        </w:rPr>
        <w:instrText xml:space="preserve"> PAGEREF _Toc8995 \h </w:instrText>
      </w:r>
      <w:r>
        <w:rPr>
          <w:i w:val="0"/>
          <w:iCs w:val="0"/>
          <w:highlight w:val="none"/>
        </w:rPr>
        <w:fldChar w:fldCharType="separate"/>
      </w:r>
      <w:r>
        <w:rPr>
          <w:i w:val="0"/>
          <w:iCs w:val="0"/>
          <w:highlight w:val="none"/>
        </w:rPr>
        <w:t xml:space="preserve">６８</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_Toc6072 </w:instrText>
      </w:r>
      <w:r>
        <w:rPr>
          <w:rFonts w:hint="eastAsia" w:eastAsia="仿宋_GB2312"/>
          <w:i w:val="0"/>
          <w:iCs w:val="0"/>
          <w:highlight w:val="none"/>
        </w:rPr>
        <w:fldChar w:fldCharType="separate"/>
      </w:r>
      <w:r>
        <w:rPr>
          <w:rFonts w:hint="eastAsia"/>
          <w:bCs/>
          <w:i w:val="0"/>
          <w:iCs w:val="0"/>
          <w:highlight w:val="none"/>
        </w:rPr>
        <w:t xml:space="preserve">七、商品包装环保要求</w:t>
      </w:r>
      <w:r>
        <w:rPr>
          <w:i w:val="0"/>
          <w:iCs w:val="0"/>
          <w:highlight w:val="none"/>
        </w:rPr>
        <w:tab/>
      </w:r>
      <w:r>
        <w:rPr>
          <w:i w:val="0"/>
          <w:iCs w:val="0"/>
          <w:highlight w:val="none"/>
        </w:rPr>
        <w:fldChar w:fldCharType="begin"/>
      </w:r>
      <w:r>
        <w:rPr>
          <w:i w:val="0"/>
          <w:iCs w:val="0"/>
          <w:highlight w:val="none"/>
        </w:rPr>
        <w:instrText xml:space="preserve"> PAGEREF _Toc6072 \h </w:instrText>
      </w:r>
      <w:r>
        <w:rPr>
          <w:i w:val="0"/>
          <w:iCs w:val="0"/>
          <w:highlight w:val="none"/>
        </w:rPr>
        <w:fldChar w:fldCharType="separate"/>
      </w:r>
      <w:r>
        <w:rPr>
          <w:i w:val="0"/>
          <w:iCs w:val="0"/>
          <w:highlight w:val="none"/>
        </w:rPr>
        <w:t xml:space="preserve">７０</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_Toc10846 </w:instrText>
      </w:r>
      <w:r>
        <w:rPr>
          <w:rFonts w:hint="eastAsia" w:eastAsia="仿宋_GB2312"/>
          <w:i w:val="0"/>
          <w:iCs w:val="0"/>
          <w:highlight w:val="none"/>
        </w:rPr>
        <w:fldChar w:fldCharType="separate"/>
      </w:r>
      <w:r>
        <w:rPr>
          <w:rFonts w:hint="eastAsia"/>
          <w:bCs/>
          <w:i w:val="0"/>
          <w:iCs w:val="0"/>
          <w:highlight w:val="none"/>
        </w:rPr>
        <w:t xml:space="preserve">八、快递包装环保要求</w:t>
      </w:r>
      <w:r>
        <w:rPr>
          <w:i w:val="0"/>
          <w:iCs w:val="0"/>
          <w:highlight w:val="none"/>
        </w:rPr>
        <w:tab/>
      </w:r>
      <w:r>
        <w:rPr>
          <w:i w:val="0"/>
          <w:iCs w:val="0"/>
          <w:highlight w:val="none"/>
        </w:rPr>
        <w:fldChar w:fldCharType="begin"/>
      </w:r>
      <w:r>
        <w:rPr>
          <w:i w:val="0"/>
          <w:iCs w:val="0"/>
          <w:highlight w:val="none"/>
        </w:rPr>
        <w:instrText xml:space="preserve"> PAGEREF _Toc10846 \h </w:instrText>
      </w:r>
      <w:r>
        <w:rPr>
          <w:i w:val="0"/>
          <w:iCs w:val="0"/>
          <w:highlight w:val="none"/>
        </w:rPr>
        <w:fldChar w:fldCharType="separate"/>
      </w:r>
      <w:r>
        <w:rPr>
          <w:i w:val="0"/>
          <w:iCs w:val="0"/>
          <w:highlight w:val="none"/>
        </w:rPr>
        <w:t xml:space="preserve">７０</w:t>
      </w:r>
      <w:r>
        <w:rPr>
          <w:i w:val="0"/>
          <w:iCs w:val="0"/>
          <w:highlight w:val="none"/>
        </w:rPr>
        <w:fldChar w:fldCharType="end"/>
      </w:r>
      <w:r>
        <w:rPr>
          <w:rFonts w:hint="eastAsia" w:eastAsia="仿宋_GB2312"/>
          <w:i w:val="0"/>
          <w:iCs w:val="0"/>
          <w:highlight w:val="none"/>
        </w:rPr>
        <w:fldChar w:fldCharType="end"/>
      </w:r>
      <w:r>
        <w:rPr>
          <w:highlight w:val="none"/>
        </w:rPr>
      </w:r>
      <w:r/>
    </w:p>
    <w:p>
      <w:pPr>
        <w:pStyle w:val="715"/>
        <w:tabs>
          <w:tab w:val="right" w:pos="8953" w:leader="dot"/>
        </w:tabs>
        <w:rPr>
          <w:highlight w:val="none"/>
        </w:rPr>
      </w:pPr>
      <w:r>
        <w:rPr>
          <w:rFonts w:hint="eastAsia" w:eastAsia="仿宋_GB2312"/>
          <w:highlight w:val="none"/>
        </w:rPr>
        <w:fldChar w:fldCharType="begin"/>
      </w:r>
      <w:r>
        <w:rPr>
          <w:rFonts w:hint="eastAsia" w:eastAsia="仿宋_GB2312"/>
          <w:highlight w:val="none"/>
        </w:rPr>
        <w:instrText xml:space="preserve"> HYPERLINK \l _Toc13294 </w:instrText>
      </w:r>
      <w:r>
        <w:rPr>
          <w:rFonts w:hint="eastAsia" w:eastAsia="仿宋_GB2312"/>
          <w:highlight w:val="none"/>
        </w:rPr>
        <w:fldChar w:fldCharType="separate"/>
      </w:r>
      <w:r>
        <w:rPr>
          <w:rFonts w:hint="eastAsia" w:ascii="Times New Roman" w:eastAsia="黑体"/>
          <w:bCs/>
          <w:highlight w:val="none"/>
        </w:rPr>
        <w:t xml:space="preserve">第五章  评标方法与评标标准</w:t>
      </w:r>
      <w:r>
        <w:rPr>
          <w:highlight w:val="none"/>
        </w:rPr>
        <w:tab/>
      </w:r>
      <w:r>
        <w:rPr>
          <w:highlight w:val="none"/>
        </w:rPr>
        <w:fldChar w:fldCharType="begin"/>
      </w:r>
      <w:r>
        <w:rPr>
          <w:highlight w:val="none"/>
        </w:rPr>
        <w:instrText xml:space="preserve"> PAGEREF _Toc13294 \h </w:instrText>
      </w:r>
      <w:r>
        <w:rPr>
          <w:highlight w:val="none"/>
        </w:rPr>
        <w:fldChar w:fldCharType="separate"/>
      </w:r>
      <w:r>
        <w:rPr>
          <w:highlight w:val="none"/>
        </w:rPr>
        <w:t xml:space="preserve">７２</w:t>
      </w:r>
      <w:r>
        <w:rPr>
          <w:highlight w:val="none"/>
        </w:rPr>
        <w:fldChar w:fldCharType="end"/>
      </w:r>
      <w:r>
        <w:rPr>
          <w:rFonts w:hint="eastAsia" w:eastAsia="仿宋_GB2312"/>
          <w:highlight w:val="none"/>
        </w:rPr>
        <w:fldChar w:fldCharType="end"/>
      </w:r>
      <w:r>
        <w:rPr>
          <w:highlight w:val="none"/>
        </w:rPr>
      </w:r>
      <w:r/>
    </w:p>
    <w:p>
      <w:pPr>
        <w:pStyle w:val="715"/>
        <w:tabs>
          <w:tab w:val="right" w:pos="8953" w:leader="dot"/>
        </w:tabs>
        <w:rPr>
          <w:highlight w:val="none"/>
        </w:rPr>
      </w:pPr>
      <w:r>
        <w:rPr>
          <w:rFonts w:hint="eastAsia" w:eastAsia="仿宋_GB2312"/>
          <w:highlight w:val="none"/>
        </w:rPr>
        <w:fldChar w:fldCharType="begin"/>
      </w:r>
      <w:r>
        <w:rPr>
          <w:rFonts w:hint="eastAsia" w:eastAsia="仿宋_GB2312"/>
          <w:highlight w:val="none"/>
        </w:rPr>
        <w:instrText xml:space="preserve"> HYPERLINK \l _Toc17416 </w:instrText>
      </w:r>
      <w:r>
        <w:rPr>
          <w:rFonts w:hint="eastAsia" w:eastAsia="仿宋_GB2312"/>
          <w:highlight w:val="none"/>
        </w:rPr>
        <w:fldChar w:fldCharType="separate"/>
      </w:r>
      <w:r>
        <w:rPr>
          <w:rFonts w:hint="eastAsia" w:ascii="Times New Roman" w:eastAsia="黑体"/>
          <w:bCs/>
          <w:highlight w:val="none"/>
        </w:rPr>
        <w:t xml:space="preserve">第六章  投标文件格式</w:t>
      </w:r>
      <w:r>
        <w:rPr>
          <w:highlight w:val="none"/>
        </w:rPr>
        <w:tab/>
      </w:r>
      <w:r>
        <w:rPr>
          <w:highlight w:val="none"/>
        </w:rPr>
        <w:fldChar w:fldCharType="begin"/>
      </w:r>
      <w:r>
        <w:rPr>
          <w:highlight w:val="none"/>
        </w:rPr>
        <w:instrText xml:space="preserve"> PAGEREF _Toc17416 \h </w:instrText>
      </w:r>
      <w:r>
        <w:rPr>
          <w:highlight w:val="none"/>
        </w:rPr>
        <w:fldChar w:fldCharType="separate"/>
      </w:r>
      <w:r>
        <w:rPr>
          <w:highlight w:val="none"/>
        </w:rPr>
        <w:t xml:space="preserve">７７</w:t>
      </w:r>
      <w:r>
        <w:rPr>
          <w:highlight w:val="none"/>
        </w:rPr>
        <w:fldChar w:fldCharType="end"/>
      </w:r>
      <w:r>
        <w:rPr>
          <w:rFonts w:hint="eastAsia" w:eastAsia="仿宋_GB2312"/>
          <w:highlight w:val="none"/>
        </w:rPr>
        <w:fldChar w:fldCharType="end"/>
      </w:r>
      <w:r>
        <w:rPr>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_Toc30620 </w:instrText>
      </w:r>
      <w:r>
        <w:rPr>
          <w:rFonts w:hint="eastAsia" w:eastAsia="仿宋_GB2312"/>
          <w:i w:val="0"/>
          <w:iCs w:val="0"/>
          <w:highlight w:val="none"/>
        </w:rPr>
        <w:fldChar w:fldCharType="separate"/>
      </w:r>
      <w:r>
        <w:rPr>
          <w:rFonts w:hint="eastAsia"/>
          <w:i w:val="0"/>
          <w:iCs w:val="0"/>
          <w:szCs w:val="32"/>
          <w:highlight w:val="none"/>
        </w:rPr>
        <w:t xml:space="preserve">一、投标声明及承诺函</w:t>
      </w:r>
      <w:r>
        <w:rPr>
          <w:i w:val="0"/>
          <w:iCs w:val="0"/>
          <w:highlight w:val="none"/>
        </w:rPr>
        <w:tab/>
      </w:r>
      <w:r>
        <w:rPr>
          <w:i w:val="0"/>
          <w:iCs w:val="0"/>
          <w:highlight w:val="none"/>
        </w:rPr>
        <w:fldChar w:fldCharType="begin"/>
      </w:r>
      <w:r>
        <w:rPr>
          <w:i w:val="0"/>
          <w:iCs w:val="0"/>
          <w:highlight w:val="none"/>
        </w:rPr>
        <w:instrText xml:space="preserve"> PAGEREF _Toc30620 \h </w:instrText>
      </w:r>
      <w:r>
        <w:rPr>
          <w:i w:val="0"/>
          <w:iCs w:val="0"/>
          <w:highlight w:val="none"/>
        </w:rPr>
        <w:fldChar w:fldCharType="separate"/>
      </w:r>
      <w:r>
        <w:rPr>
          <w:i w:val="0"/>
          <w:iCs w:val="0"/>
          <w:highlight w:val="none"/>
        </w:rPr>
        <w:t xml:space="preserve">７９</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_Toc28933 </w:instrText>
      </w:r>
      <w:r>
        <w:rPr>
          <w:rFonts w:hint="eastAsia" w:eastAsia="仿宋_GB2312"/>
          <w:i w:val="0"/>
          <w:iCs w:val="0"/>
          <w:highlight w:val="none"/>
        </w:rPr>
        <w:fldChar w:fldCharType="separate"/>
      </w:r>
      <w:r>
        <w:rPr>
          <w:rFonts w:hint="eastAsia"/>
          <w:i w:val="0"/>
          <w:iCs w:val="0"/>
          <w:szCs w:val="32"/>
          <w:highlight w:val="none"/>
        </w:rPr>
        <w:t xml:space="preserve">二、投标人基本情况</w:t>
      </w:r>
      <w:r>
        <w:rPr>
          <w:i w:val="0"/>
          <w:iCs w:val="0"/>
          <w:highlight w:val="none"/>
        </w:rPr>
        <w:tab/>
      </w:r>
      <w:r>
        <w:rPr>
          <w:i w:val="0"/>
          <w:iCs w:val="0"/>
          <w:highlight w:val="none"/>
        </w:rPr>
        <w:fldChar w:fldCharType="begin"/>
      </w:r>
      <w:r>
        <w:rPr>
          <w:i w:val="0"/>
          <w:iCs w:val="0"/>
          <w:highlight w:val="none"/>
        </w:rPr>
        <w:instrText xml:space="preserve"> PAGEREF _Toc28933 \h </w:instrText>
      </w:r>
      <w:r>
        <w:rPr>
          <w:i w:val="0"/>
          <w:iCs w:val="0"/>
          <w:highlight w:val="none"/>
        </w:rPr>
        <w:fldChar w:fldCharType="separate"/>
      </w:r>
      <w:r>
        <w:rPr>
          <w:i w:val="0"/>
          <w:iCs w:val="0"/>
          <w:highlight w:val="none"/>
        </w:rPr>
        <w:t xml:space="preserve">８０</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_Toc25294 </w:instrText>
      </w:r>
      <w:r>
        <w:rPr>
          <w:rFonts w:hint="eastAsia" w:eastAsia="仿宋_GB2312"/>
          <w:i w:val="0"/>
          <w:iCs w:val="0"/>
          <w:highlight w:val="none"/>
        </w:rPr>
        <w:fldChar w:fldCharType="separate"/>
      </w:r>
      <w:r>
        <w:rPr>
          <w:rFonts w:hint="eastAsia"/>
          <w:i w:val="0"/>
          <w:iCs w:val="0"/>
          <w:szCs w:val="32"/>
          <w:highlight w:val="none"/>
        </w:rPr>
        <w:t xml:space="preserve">三、法人授权书</w:t>
      </w:r>
      <w:r>
        <w:rPr>
          <w:i w:val="0"/>
          <w:iCs w:val="0"/>
          <w:highlight w:val="none"/>
        </w:rPr>
        <w:tab/>
      </w:r>
      <w:r>
        <w:rPr>
          <w:i w:val="0"/>
          <w:iCs w:val="0"/>
          <w:highlight w:val="none"/>
        </w:rPr>
        <w:fldChar w:fldCharType="begin"/>
      </w:r>
      <w:r>
        <w:rPr>
          <w:i w:val="0"/>
          <w:iCs w:val="0"/>
          <w:highlight w:val="none"/>
        </w:rPr>
        <w:instrText xml:space="preserve"> PAGEREF _Toc25294 \h </w:instrText>
      </w:r>
      <w:r>
        <w:rPr>
          <w:i w:val="0"/>
          <w:iCs w:val="0"/>
          <w:highlight w:val="none"/>
        </w:rPr>
        <w:fldChar w:fldCharType="separate"/>
      </w:r>
      <w:r>
        <w:rPr>
          <w:i w:val="0"/>
          <w:iCs w:val="0"/>
          <w:highlight w:val="none"/>
        </w:rPr>
        <w:t xml:space="preserve">８１</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_Toc25621 </w:instrText>
      </w:r>
      <w:r>
        <w:rPr>
          <w:rFonts w:hint="eastAsia" w:eastAsia="仿宋_GB2312"/>
          <w:i w:val="0"/>
          <w:iCs w:val="0"/>
          <w:highlight w:val="none"/>
        </w:rPr>
        <w:fldChar w:fldCharType="separate"/>
      </w:r>
      <w:r>
        <w:rPr>
          <w:rFonts w:hint="eastAsia" w:ascii="宋体" w:hAnsi="宋体" w:cs="宋体"/>
          <w:i w:val="0"/>
          <w:iCs w:val="0"/>
          <w:szCs w:val="32"/>
          <w:highlight w:val="none"/>
        </w:rPr>
        <w:t xml:space="preserve">四、开标一览表</w:t>
      </w:r>
      <w:r>
        <w:rPr>
          <w:i w:val="0"/>
          <w:iCs w:val="0"/>
          <w:highlight w:val="none"/>
        </w:rPr>
        <w:tab/>
      </w:r>
      <w:r>
        <w:rPr>
          <w:i w:val="0"/>
          <w:iCs w:val="0"/>
          <w:highlight w:val="none"/>
        </w:rPr>
        <w:fldChar w:fldCharType="begin"/>
      </w:r>
      <w:r>
        <w:rPr>
          <w:i w:val="0"/>
          <w:iCs w:val="0"/>
          <w:highlight w:val="none"/>
        </w:rPr>
        <w:instrText xml:space="preserve"> PAGEREF _Toc25621 \h </w:instrText>
      </w:r>
      <w:r>
        <w:rPr>
          <w:i w:val="0"/>
          <w:iCs w:val="0"/>
          <w:highlight w:val="none"/>
        </w:rPr>
        <w:fldChar w:fldCharType="separate"/>
      </w:r>
      <w:r>
        <w:rPr>
          <w:i w:val="0"/>
          <w:iCs w:val="0"/>
          <w:highlight w:val="none"/>
        </w:rPr>
        <w:t xml:space="preserve">８２</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_Toc19017 </w:instrText>
      </w:r>
      <w:r>
        <w:rPr>
          <w:rFonts w:hint="eastAsia" w:eastAsia="仿宋_GB2312"/>
          <w:i w:val="0"/>
          <w:iCs w:val="0"/>
          <w:highlight w:val="none"/>
        </w:rPr>
        <w:fldChar w:fldCharType="separate"/>
      </w:r>
      <w:r>
        <w:rPr>
          <w:rFonts w:hint="eastAsia"/>
          <w:i w:val="0"/>
          <w:iCs w:val="0"/>
          <w:szCs w:val="32"/>
          <w:highlight w:val="none"/>
        </w:rPr>
        <w:t xml:space="preserve">五、明细报价表</w:t>
      </w:r>
      <w:r>
        <w:rPr>
          <w:i w:val="0"/>
          <w:iCs w:val="0"/>
          <w:highlight w:val="none"/>
        </w:rPr>
        <w:tab/>
      </w:r>
      <w:r>
        <w:rPr>
          <w:i w:val="0"/>
          <w:iCs w:val="0"/>
          <w:highlight w:val="none"/>
        </w:rPr>
        <w:fldChar w:fldCharType="begin"/>
      </w:r>
      <w:r>
        <w:rPr>
          <w:i w:val="0"/>
          <w:iCs w:val="0"/>
          <w:highlight w:val="none"/>
        </w:rPr>
        <w:instrText xml:space="preserve"> PAGEREF _Toc19017 \h </w:instrText>
      </w:r>
      <w:r>
        <w:rPr>
          <w:i w:val="0"/>
          <w:iCs w:val="0"/>
          <w:highlight w:val="none"/>
        </w:rPr>
        <w:fldChar w:fldCharType="separate"/>
      </w:r>
      <w:r>
        <w:rPr>
          <w:i w:val="0"/>
          <w:iCs w:val="0"/>
          <w:highlight w:val="none"/>
        </w:rPr>
        <w:t xml:space="preserve">８３</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_Toc20420 </w:instrText>
      </w:r>
      <w:r>
        <w:rPr>
          <w:rFonts w:hint="eastAsia" w:eastAsia="仿宋_GB2312"/>
          <w:i w:val="0"/>
          <w:iCs w:val="0"/>
          <w:highlight w:val="none"/>
        </w:rPr>
        <w:fldChar w:fldCharType="separate"/>
      </w:r>
      <w:r>
        <w:rPr>
          <w:rFonts w:hint="eastAsia" w:ascii="宋体" w:hAnsi="宋体" w:cs="宋体"/>
          <w:i w:val="0"/>
          <w:iCs w:val="0"/>
          <w:szCs w:val="32"/>
          <w:highlight w:val="none"/>
        </w:rPr>
        <w:t xml:space="preserve">六、中小企业或残疾人福利性单位声明函</w:t>
      </w:r>
      <w:r>
        <w:rPr>
          <w:i w:val="0"/>
          <w:iCs w:val="0"/>
          <w:highlight w:val="none"/>
        </w:rPr>
        <w:tab/>
      </w:r>
      <w:r>
        <w:rPr>
          <w:i w:val="0"/>
          <w:iCs w:val="0"/>
          <w:highlight w:val="none"/>
        </w:rPr>
        <w:fldChar w:fldCharType="begin"/>
      </w:r>
      <w:r>
        <w:rPr>
          <w:i w:val="0"/>
          <w:iCs w:val="0"/>
          <w:highlight w:val="none"/>
        </w:rPr>
        <w:instrText xml:space="preserve"> PAGEREF _Toc20420 \h </w:instrText>
      </w:r>
      <w:r>
        <w:rPr>
          <w:i w:val="0"/>
          <w:iCs w:val="0"/>
          <w:highlight w:val="none"/>
        </w:rPr>
        <w:fldChar w:fldCharType="separate"/>
      </w:r>
      <w:r>
        <w:rPr>
          <w:i w:val="0"/>
          <w:iCs w:val="0"/>
          <w:highlight w:val="none"/>
        </w:rPr>
        <w:t xml:space="preserve">８４</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_Toc29818 </w:instrText>
      </w:r>
      <w:r>
        <w:rPr>
          <w:rFonts w:hint="eastAsia" w:eastAsia="仿宋_GB2312"/>
          <w:i w:val="0"/>
          <w:iCs w:val="0"/>
          <w:highlight w:val="none"/>
        </w:rPr>
        <w:fldChar w:fldCharType="separate"/>
      </w:r>
      <w:r>
        <w:rPr>
          <w:rFonts w:hint="eastAsia"/>
          <w:i w:val="0"/>
          <w:iCs w:val="0"/>
          <w:highlight w:val="none"/>
        </w:rPr>
        <w:t xml:space="preserve">七</w:t>
      </w:r>
      <w:r>
        <w:rPr>
          <w:i w:val="0"/>
          <w:iCs w:val="0"/>
          <w:highlight w:val="none"/>
        </w:rPr>
        <w:t xml:space="preserve">、</w:t>
      </w:r>
      <w:r>
        <w:rPr>
          <w:rFonts w:hint="eastAsia"/>
          <w:i w:val="0"/>
          <w:iCs w:val="0"/>
          <w:highlight w:val="none"/>
        </w:rPr>
        <w:t xml:space="preserve">技术响应偏离表</w:t>
      </w:r>
      <w:r>
        <w:rPr>
          <w:i w:val="0"/>
          <w:iCs w:val="0"/>
          <w:highlight w:val="none"/>
        </w:rPr>
        <w:tab/>
      </w:r>
      <w:r>
        <w:rPr>
          <w:i w:val="0"/>
          <w:iCs w:val="0"/>
          <w:highlight w:val="none"/>
        </w:rPr>
        <w:fldChar w:fldCharType="begin"/>
      </w:r>
      <w:r>
        <w:rPr>
          <w:i w:val="0"/>
          <w:iCs w:val="0"/>
          <w:highlight w:val="none"/>
        </w:rPr>
        <w:instrText xml:space="preserve"> PAGEREF _Toc29818 \h </w:instrText>
      </w:r>
      <w:r>
        <w:rPr>
          <w:i w:val="0"/>
          <w:iCs w:val="0"/>
          <w:highlight w:val="none"/>
        </w:rPr>
        <w:fldChar w:fldCharType="separate"/>
      </w:r>
      <w:r>
        <w:rPr>
          <w:i w:val="0"/>
          <w:iCs w:val="0"/>
          <w:highlight w:val="none"/>
        </w:rPr>
        <w:t xml:space="preserve">８６</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_Toc3735 </w:instrText>
      </w:r>
      <w:r>
        <w:rPr>
          <w:rFonts w:hint="eastAsia" w:eastAsia="仿宋_GB2312"/>
          <w:i w:val="0"/>
          <w:iCs w:val="0"/>
          <w:highlight w:val="none"/>
        </w:rPr>
        <w:fldChar w:fldCharType="separate"/>
      </w:r>
      <w:r>
        <w:rPr>
          <w:rFonts w:hint="eastAsia"/>
          <w:i w:val="0"/>
          <w:iCs w:val="0"/>
          <w:highlight w:val="none"/>
        </w:rPr>
        <w:t xml:space="preserve">八、</w:t>
      </w:r>
      <w:r>
        <w:rPr>
          <w:i w:val="0"/>
          <w:iCs w:val="0"/>
          <w:highlight w:val="none"/>
        </w:rPr>
        <w:t xml:space="preserve">项目组人员</w:t>
      </w:r>
      <w:r>
        <w:rPr>
          <w:i w:val="0"/>
          <w:iCs w:val="0"/>
          <w:highlight w:val="none"/>
        </w:rPr>
        <w:tab/>
      </w:r>
      <w:r>
        <w:rPr>
          <w:i w:val="0"/>
          <w:iCs w:val="0"/>
          <w:highlight w:val="none"/>
        </w:rPr>
        <w:fldChar w:fldCharType="begin"/>
      </w:r>
      <w:r>
        <w:rPr>
          <w:i w:val="0"/>
          <w:iCs w:val="0"/>
          <w:highlight w:val="none"/>
        </w:rPr>
        <w:instrText xml:space="preserve"> PAGEREF _Toc3735 \h </w:instrText>
      </w:r>
      <w:r>
        <w:rPr>
          <w:i w:val="0"/>
          <w:iCs w:val="0"/>
          <w:highlight w:val="none"/>
        </w:rPr>
        <w:fldChar w:fldCharType="separate"/>
      </w:r>
      <w:r>
        <w:rPr>
          <w:i w:val="0"/>
          <w:iCs w:val="0"/>
          <w:highlight w:val="none"/>
        </w:rPr>
        <w:t xml:space="preserve">８７</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i w:val="0"/>
          <w:iCs w:val="0"/>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_Toc28792 </w:instrText>
      </w:r>
      <w:r>
        <w:rPr>
          <w:rFonts w:hint="eastAsia" w:eastAsia="仿宋_GB2312"/>
          <w:i w:val="0"/>
          <w:iCs w:val="0"/>
          <w:highlight w:val="none"/>
        </w:rPr>
        <w:fldChar w:fldCharType="separate"/>
      </w:r>
      <w:r>
        <w:rPr>
          <w:rFonts w:hint="eastAsia" w:ascii="宋体" w:hAnsi="宋体" w:cs="宋体"/>
          <w:i w:val="0"/>
          <w:iCs w:val="0"/>
          <w:highlight w:val="none"/>
        </w:rPr>
        <w:t xml:space="preserve">九、企业业绩</w:t>
      </w:r>
      <w:r>
        <w:rPr>
          <w:i w:val="0"/>
          <w:iCs w:val="0"/>
          <w:highlight w:val="none"/>
        </w:rPr>
        <w:tab/>
      </w:r>
      <w:r>
        <w:rPr>
          <w:i w:val="0"/>
          <w:iCs w:val="0"/>
          <w:highlight w:val="none"/>
        </w:rPr>
        <w:fldChar w:fldCharType="begin"/>
      </w:r>
      <w:r>
        <w:rPr>
          <w:i w:val="0"/>
          <w:iCs w:val="0"/>
          <w:highlight w:val="none"/>
        </w:rPr>
        <w:instrText xml:space="preserve"> PAGEREF _Toc28792 \h </w:instrText>
      </w:r>
      <w:r>
        <w:rPr>
          <w:i w:val="0"/>
          <w:iCs w:val="0"/>
          <w:highlight w:val="none"/>
        </w:rPr>
        <w:fldChar w:fldCharType="separate"/>
      </w:r>
      <w:r>
        <w:rPr>
          <w:i w:val="0"/>
          <w:iCs w:val="0"/>
          <w:highlight w:val="none"/>
        </w:rPr>
        <w:t xml:space="preserve">８９</w:t>
      </w:r>
      <w:r>
        <w:rPr>
          <w:i w:val="0"/>
          <w:iCs w:val="0"/>
          <w:highlight w:val="none"/>
        </w:rPr>
        <w:fldChar w:fldCharType="end"/>
      </w:r>
      <w:r>
        <w:rPr>
          <w:rFonts w:hint="eastAsia" w:eastAsia="仿宋_GB2312"/>
          <w:i w:val="0"/>
          <w:iCs w:val="0"/>
          <w:highlight w:val="none"/>
        </w:rPr>
        <w:fldChar w:fldCharType="end"/>
      </w:r>
      <w:r>
        <w:rPr>
          <w:i w:val="0"/>
          <w:iCs w:val="0"/>
          <w:highlight w:val="none"/>
        </w:rPr>
      </w:r>
      <w:r/>
    </w:p>
    <w:p>
      <w:pPr>
        <w:pStyle w:val="701"/>
        <w:tabs>
          <w:tab w:val="right" w:pos="8953" w:leader="dot"/>
        </w:tabs>
        <w:rPr>
          <w:highlight w:val="none"/>
        </w:rPr>
      </w:pPr>
      <w:r>
        <w:rPr>
          <w:rFonts w:hint="eastAsia" w:eastAsia="仿宋_GB2312"/>
          <w:i w:val="0"/>
          <w:iCs w:val="0"/>
          <w:highlight w:val="none"/>
        </w:rPr>
        <w:fldChar w:fldCharType="begin"/>
      </w:r>
      <w:r>
        <w:rPr>
          <w:rFonts w:hint="eastAsia" w:eastAsia="仿宋_GB2312"/>
          <w:i w:val="0"/>
          <w:iCs w:val="0"/>
          <w:highlight w:val="none"/>
        </w:rPr>
        <w:instrText xml:space="preserve"> HYPERLINK \l _Toc8029 </w:instrText>
      </w:r>
      <w:r>
        <w:rPr>
          <w:rFonts w:hint="eastAsia" w:eastAsia="仿宋_GB2312"/>
          <w:i w:val="0"/>
          <w:iCs w:val="0"/>
          <w:highlight w:val="none"/>
        </w:rPr>
        <w:fldChar w:fldCharType="separate"/>
      </w:r>
      <w:r>
        <w:rPr>
          <w:rFonts w:hint="eastAsia"/>
          <w:i w:val="0"/>
          <w:iCs w:val="0"/>
          <w:highlight w:val="none"/>
        </w:rPr>
        <w:t xml:space="preserve">十</w:t>
      </w:r>
      <w:r>
        <w:rPr>
          <w:i w:val="0"/>
          <w:iCs w:val="0"/>
          <w:highlight w:val="none"/>
        </w:rPr>
        <w:t xml:space="preserve">、投标所需其他材料</w:t>
      </w:r>
      <w:r>
        <w:rPr>
          <w:i w:val="0"/>
          <w:iCs w:val="0"/>
          <w:highlight w:val="none"/>
        </w:rPr>
        <w:tab/>
      </w:r>
      <w:r>
        <w:rPr>
          <w:i w:val="0"/>
          <w:iCs w:val="0"/>
          <w:highlight w:val="none"/>
        </w:rPr>
        <w:fldChar w:fldCharType="begin"/>
      </w:r>
      <w:r>
        <w:rPr>
          <w:i w:val="0"/>
          <w:iCs w:val="0"/>
          <w:highlight w:val="none"/>
        </w:rPr>
        <w:instrText xml:space="preserve"> PAGEREF _Toc8029 \h </w:instrText>
      </w:r>
      <w:r>
        <w:rPr>
          <w:i w:val="0"/>
          <w:iCs w:val="0"/>
          <w:highlight w:val="none"/>
        </w:rPr>
        <w:fldChar w:fldCharType="separate"/>
      </w:r>
      <w:r>
        <w:rPr>
          <w:i w:val="0"/>
          <w:iCs w:val="0"/>
          <w:highlight w:val="none"/>
        </w:rPr>
        <w:t xml:space="preserve">９０</w:t>
      </w:r>
      <w:r>
        <w:rPr>
          <w:i w:val="0"/>
          <w:iCs w:val="0"/>
          <w:highlight w:val="none"/>
        </w:rPr>
        <w:fldChar w:fldCharType="end"/>
      </w:r>
      <w:r>
        <w:rPr>
          <w:rFonts w:hint="eastAsia" w:eastAsia="仿宋_GB2312"/>
          <w:i w:val="0"/>
          <w:iCs w:val="0"/>
          <w:highlight w:val="none"/>
        </w:rPr>
        <w:fldChar w:fldCharType="end"/>
      </w:r>
      <w:r>
        <w:rPr>
          <w:highlight w:val="none"/>
        </w:rPr>
      </w:r>
      <w:r/>
    </w:p>
    <w:p>
      <w:pPr>
        <w:pStyle w:val="664"/>
        <w:spacing w:line="480" w:lineRule="auto"/>
        <w:rPr>
          <w:rFonts w:hint="eastAsia" w:eastAsia="黑体"/>
          <w:sz w:val="44"/>
          <w:szCs w:val="44"/>
          <w:highlight w:val="none"/>
        </w:rPr>
      </w:pPr>
      <w:r>
        <w:rPr>
          <w:rFonts w:hint="eastAsia" w:eastAsia="仿宋_GB2312"/>
          <w:highlight w:val="none"/>
        </w:rPr>
        <w:fldChar w:fldCharType="end"/>
      </w:r>
      <w:bookmarkStart w:id="9" w:name="_Toc20246"/>
      <w:r>
        <w:rPr>
          <w:rFonts w:hint="eastAsia" w:eastAsia="黑体"/>
          <w:sz w:val="44"/>
          <w:szCs w:val="44"/>
          <w:highlight w:val="none"/>
        </w:rPr>
      </w:r>
      <w:r/>
    </w:p>
    <w:p>
      <w:pPr>
        <w:pStyle w:val="665"/>
        <w:rPr>
          <w:rFonts w:hint="eastAsia" w:ascii="Times New Roman" w:eastAsia="黑体"/>
          <w:bCs/>
          <w:sz w:val="44"/>
          <w:szCs w:val="44"/>
          <w:highlight w:val="none"/>
        </w:rPr>
      </w:pPr>
      <w:r/>
      <w:bookmarkStart w:id="10" w:name="_Toc6709"/>
      <w:r/>
      <w:bookmarkStart w:id="11" w:name="_Toc4534"/>
      <w:r>
        <w:rPr>
          <w:rFonts w:hint="eastAsia" w:ascii="Times New Roman" w:eastAsia="黑体"/>
          <w:sz w:val="44"/>
          <w:szCs w:val="44"/>
          <w:highlight w:val="none"/>
        </w:rPr>
        <w:t xml:space="preserve">第一章  </w:t>
      </w:r>
      <w:bookmarkEnd w:id="3"/>
      <w:r>
        <w:rPr>
          <w:rFonts w:hint="eastAsia" w:ascii="Times New Roman" w:eastAsia="黑体"/>
          <w:sz w:val="44"/>
          <w:szCs w:val="44"/>
          <w:highlight w:val="none"/>
        </w:rPr>
        <w:t xml:space="preserve">投标邀请</w:t>
      </w:r>
      <w:bookmarkEnd w:id="9"/>
      <w:r/>
      <w:bookmarkEnd w:id="10"/>
      <w:r/>
      <w:bookmarkEnd w:id="11"/>
      <w:r>
        <w:rPr>
          <w:rFonts w:hint="eastAsia" w:ascii="Times New Roman" w:eastAsia="黑体"/>
          <w:bCs/>
          <w:sz w:val="44"/>
          <w:szCs w:val="44"/>
          <w:highlight w:val="none"/>
        </w:rPr>
      </w:r>
      <w:r/>
    </w:p>
    <w:p>
      <w:pPr>
        <w:pStyle w:val="664"/>
        <w:ind w:firstLine="480"/>
        <w:spacing w:line="560" w:lineRule="exact"/>
        <w:rPr>
          <w:sz w:val="24"/>
          <w:szCs w:val="24"/>
          <w:highlight w:val="none"/>
        </w:rPr>
      </w:pPr>
      <w:r>
        <w:rPr>
          <w:rFonts w:hint="eastAsia"/>
          <w:sz w:val="24"/>
          <w:szCs w:val="24"/>
          <w:highlight w:val="none"/>
        </w:rPr>
        <w:t xml:space="preserve">受</w:t>
      </w:r>
      <w:r>
        <w:rPr>
          <w:rFonts w:hint="eastAsia"/>
          <w:sz w:val="24"/>
          <w:szCs w:val="24"/>
          <w:highlight w:val="none"/>
          <w:u w:val="single"/>
        </w:rPr>
        <w:t xml:space="preserve">江苏省宿迁市人民检察院、宿迁市楚润数据集团有限公司</w:t>
      </w:r>
      <w:r>
        <w:rPr>
          <w:rFonts w:hint="eastAsia"/>
          <w:sz w:val="24"/>
          <w:szCs w:val="24"/>
          <w:highlight w:val="none"/>
        </w:rPr>
        <w:t xml:space="preserve">的委托，</w:t>
      </w:r>
      <w:r>
        <w:rPr>
          <w:rFonts w:hint="eastAsia"/>
          <w:sz w:val="24"/>
          <w:szCs w:val="24"/>
          <w:highlight w:val="none"/>
          <w:u w:val="single"/>
        </w:rPr>
        <w:t xml:space="preserve">江苏佳兴项目管理有限公司</w:t>
      </w:r>
      <w:r>
        <w:rPr>
          <w:rFonts w:hint="eastAsia"/>
          <w:sz w:val="24"/>
          <w:szCs w:val="24"/>
          <w:highlight w:val="none"/>
        </w:rPr>
        <w:t xml:space="preserve">就</w:t>
      </w:r>
      <w:r>
        <w:rPr>
          <w:rFonts w:hint="eastAsia"/>
          <w:sz w:val="24"/>
          <w:szCs w:val="24"/>
          <w:highlight w:val="none"/>
          <w:u w:val="single"/>
        </w:rPr>
        <w:t xml:space="preserve">宿迁市人民检察院“两个中心”智能化建设补充项目(</w:t>
      </w:r>
      <w:r>
        <w:rPr>
          <w:rFonts w:hint="eastAsia"/>
          <w:sz w:val="24"/>
          <w:szCs w:val="24"/>
          <w:highlight w:val="none"/>
          <w:u w:val="single"/>
          <w:lang w:eastAsia="zh-CN"/>
        </w:rPr>
        <w:t xml:space="preserve">JSZC-321300-JXXM-G2025-0009</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rPr>
          <w:sz w:val="24"/>
          <w:szCs w:val="24"/>
          <w:highlight w:val="none"/>
        </w:rPr>
      </w:r>
      <w:r/>
    </w:p>
    <w:p>
      <w:pPr>
        <w:pStyle w:val="664"/>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rPr>
          <w:sz w:val="24"/>
          <w:szCs w:val="24"/>
          <w:highlight w:val="none"/>
        </w:rPr>
      </w:r>
      <w:r/>
    </w:p>
    <w:p>
      <w:pPr>
        <w:pStyle w:val="664"/>
        <w:ind w:firstLine="480"/>
        <w:spacing w:line="560" w:lineRule="exact"/>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 宿迁市人民检察院“两个中心”智能化建设补充项目</w:t>
      </w:r>
      <w:r>
        <w:rPr>
          <w:rFonts w:hint="eastAsia"/>
          <w:sz w:val="24"/>
          <w:szCs w:val="24"/>
          <w:highlight w:val="none"/>
        </w:rPr>
        <w:t xml:space="preserve">招标项目的潜在投标人可在</w:t>
      </w:r>
      <w:r>
        <w:rPr>
          <w:rFonts w:hint="eastAsia"/>
          <w:sz w:val="24"/>
          <w:szCs w:val="24"/>
          <w:highlight w:val="none"/>
          <w:u w:val="single"/>
        </w:rPr>
        <w:t xml:space="preserve">“江苏政府采购网”、“宿迁市政府采购网”自行免费下载</w:t>
      </w:r>
      <w:r>
        <w:rPr>
          <w:rFonts w:hint="eastAsia"/>
          <w:sz w:val="24"/>
          <w:szCs w:val="24"/>
          <w:highlight w:val="none"/>
        </w:rPr>
        <w:t xml:space="preserve">招标文件，并于</w:t>
      </w:r>
      <w:r>
        <w:rPr>
          <w:rFonts w:hint="eastAsia"/>
          <w:sz w:val="24"/>
          <w:szCs w:val="24"/>
          <w:highlight w:val="none"/>
          <w:u w:val="single"/>
        </w:rPr>
        <w:t xml:space="preserve">2025年</w:t>
      </w:r>
      <w:r>
        <w:rPr>
          <w:rFonts w:hint="eastAsia"/>
          <w:bCs/>
          <w:sz w:val="24"/>
          <w:szCs w:val="24"/>
          <w:highlight w:val="none"/>
          <w:u w:val="single"/>
          <w:lang w:val="en-US" w:eastAsia="zh-CN"/>
        </w:rPr>
        <w:t xml:space="preserve">1</w:t>
      </w:r>
      <w:r>
        <w:rPr>
          <w:rFonts w:hint="eastAsia"/>
          <w:bCs/>
          <w:sz w:val="24"/>
          <w:szCs w:val="24"/>
          <w:highlight w:val="none"/>
          <w:u w:val="single"/>
          <w:lang w:val="en-US" w:eastAsia="zh-CN"/>
        </w:rPr>
        <w:t xml:space="preserve">0</w:t>
      </w:r>
      <w:r>
        <w:rPr>
          <w:rFonts w:hint="eastAsia"/>
          <w:bCs/>
          <w:sz w:val="24"/>
          <w:szCs w:val="24"/>
          <w:highlight w:val="none"/>
          <w:u w:val="single"/>
        </w:rPr>
        <w:t xml:space="preserve">月</w:t>
      </w:r>
      <w:r>
        <w:rPr>
          <w:rFonts w:hint="eastAsia"/>
          <w:bCs/>
          <w:sz w:val="24"/>
          <w:szCs w:val="24"/>
          <w:highlight w:val="none"/>
          <w:u w:val="single"/>
          <w:lang w:val="en-US" w:eastAsia="zh-CN"/>
        </w:rPr>
        <w:t xml:space="preserve">3</w:t>
      </w:r>
      <w:r>
        <w:rPr>
          <w:rFonts w:hint="eastAsia"/>
          <w:bCs/>
          <w:sz w:val="24"/>
          <w:szCs w:val="24"/>
          <w:highlight w:val="none"/>
          <w:u w:val="single"/>
          <w:lang w:val="en-US" w:eastAsia="zh-CN"/>
        </w:rPr>
        <w:t xml:space="preserve">0</w:t>
      </w:r>
      <w:r>
        <w:rPr>
          <w:rFonts w:hint="eastAsia"/>
          <w:bCs/>
          <w:sz w:val="24"/>
          <w:szCs w:val="24"/>
          <w:highlight w:val="none"/>
          <w:u w:val="single"/>
        </w:rPr>
        <w:t xml:space="preserve">日9点30分（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rPr>
          <w:sz w:val="24"/>
          <w:szCs w:val="24"/>
          <w:highlight w:val="none"/>
        </w:rPr>
      </w:r>
      <w:r/>
    </w:p>
    <w:p>
      <w:pPr>
        <w:pStyle w:val="667"/>
        <w:ind w:firstLine="498"/>
        <w:spacing w:before="145" w:after="145" w:line="360" w:lineRule="auto"/>
        <w:rPr>
          <w:highlight w:val="none"/>
        </w:rPr>
      </w:pPr>
      <w:r/>
      <w:bookmarkStart w:id="12" w:name="_Toc35393621"/>
      <w:r/>
      <w:bookmarkStart w:id="13" w:name="_Toc28359002"/>
      <w:r/>
      <w:bookmarkStart w:id="14" w:name="_Toc30733"/>
      <w:r/>
      <w:bookmarkStart w:id="15" w:name="_Toc28359079"/>
      <w:r/>
      <w:bookmarkStart w:id="16" w:name="_Toc17543"/>
      <w:r/>
      <w:bookmarkStart w:id="17" w:name="_Toc35393790"/>
      <w:r/>
      <w:bookmarkStart w:id="18" w:name="_Toc25010"/>
      <w:r/>
      <w:bookmarkStart w:id="19" w:name="_Toc38985263"/>
      <w:r/>
      <w:bookmarkStart w:id="20" w:name="_Hlk24379207"/>
      <w:r>
        <w:rPr>
          <w:rFonts w:hint="eastAsia"/>
          <w:highlight w:val="none"/>
        </w:rPr>
        <w:t xml:space="preserve">一、项目基本情况</w:t>
      </w:r>
      <w:bookmarkEnd w:id="12"/>
      <w:r/>
      <w:bookmarkEnd w:id="13"/>
      <w:r/>
      <w:bookmarkEnd w:id="14"/>
      <w:r/>
      <w:bookmarkEnd w:id="15"/>
      <w:r/>
      <w:bookmarkEnd w:id="16"/>
      <w:r/>
      <w:bookmarkEnd w:id="17"/>
      <w:r/>
      <w:bookmarkEnd w:id="18"/>
      <w:r/>
      <w:bookmarkEnd w:id="19"/>
      <w:r>
        <w:rPr>
          <w:highlight w:val="none"/>
        </w:rPr>
      </w:r>
      <w:r/>
    </w:p>
    <w:p>
      <w:pPr>
        <w:pStyle w:val="664"/>
        <w:ind w:firstLine="480"/>
        <w:spacing w:line="560" w:lineRule="exact"/>
        <w:rPr>
          <w:rFonts w:hint="eastAsia" w:ascii="宋体" w:hAnsi="宋体" w:eastAsia="宋体" w:cs="宋体"/>
          <w:sz w:val="24"/>
          <w:szCs w:val="24"/>
          <w:highlight w:val="none"/>
          <w:lang w:eastAsia="zh-CN"/>
        </w:rPr>
      </w:pPr>
      <w:r>
        <w:rPr>
          <w:rFonts w:hint="eastAsia"/>
          <w:sz w:val="24"/>
          <w:szCs w:val="24"/>
          <w:highlight w:val="none"/>
        </w:rPr>
        <w:t xml:space="preserve">1.项目编号：</w:t>
      </w:r>
      <w:r>
        <w:rPr>
          <w:rFonts w:hint="eastAsia" w:ascii="宋体" w:hAnsi="宋体" w:eastAsia="宋体" w:cs="宋体"/>
          <w:highlight w:val="none"/>
          <w:shd w:val="clear" w:color="auto" w:fill="ffffff"/>
          <w:lang w:eastAsia="zh-CN"/>
        </w:rPr>
        <w:t xml:space="preserve">JSZC-321300-JXXM-G2025-0009</w:t>
      </w:r>
      <w:r>
        <w:rPr>
          <w:rFonts w:hint="eastAsia" w:ascii="宋体" w:hAnsi="宋体" w:eastAsia="宋体" w:cs="宋体"/>
          <w:sz w:val="24"/>
          <w:szCs w:val="24"/>
          <w:highlight w:val="none"/>
          <w:lang w:eastAsia="zh-CN"/>
        </w:rPr>
      </w:r>
      <w:r/>
    </w:p>
    <w:p>
      <w:pPr>
        <w:pStyle w:val="664"/>
        <w:ind w:firstLine="480"/>
        <w:spacing w:line="560" w:lineRule="exact"/>
        <w:rPr>
          <w:rFonts w:hint="eastAsia"/>
          <w:sz w:val="24"/>
          <w:szCs w:val="24"/>
          <w:highlight w:val="none"/>
        </w:rPr>
      </w:pPr>
      <w:r>
        <w:rPr>
          <w:rFonts w:hint="eastAsia"/>
          <w:sz w:val="24"/>
          <w:szCs w:val="24"/>
          <w:highlight w:val="none"/>
        </w:rPr>
        <w:t xml:space="preserve">2.项目名称：宿迁市人民检察院“两个中心”智能化建设补充项目</w:t>
      </w:r>
      <w:r>
        <w:rPr>
          <w:rFonts w:hint="eastAsia"/>
          <w:sz w:val="24"/>
          <w:szCs w:val="24"/>
          <w:highlight w:val="none"/>
        </w:rPr>
      </w:r>
      <w:r/>
    </w:p>
    <w:p>
      <w:pPr>
        <w:pStyle w:val="664"/>
        <w:ind w:firstLine="480"/>
        <w:spacing w:line="560" w:lineRule="exact"/>
        <w:rPr>
          <w:rFonts w:hint="eastAsia"/>
          <w:sz w:val="24"/>
          <w:szCs w:val="24"/>
          <w:highlight w:val="none"/>
        </w:rPr>
      </w:pPr>
      <w:r/>
      <w:bookmarkEnd w:id="20"/>
      <w:r>
        <w:rPr>
          <w:rFonts w:hint="eastAsia"/>
          <w:sz w:val="24"/>
          <w:szCs w:val="24"/>
          <w:highlight w:val="none"/>
        </w:rPr>
        <w:t xml:space="preserve">3.预算金额：211.64万元</w:t>
      </w:r>
      <w:r>
        <w:rPr>
          <w:rFonts w:hint="eastAsia"/>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4.本项目</w:t>
      </w:r>
      <w:r>
        <w:rPr>
          <w:rFonts w:hint="eastAsia"/>
          <w:sz w:val="24"/>
          <w:szCs w:val="24"/>
          <w:highlight w:val="none"/>
          <w:u w:val="single"/>
        </w:rPr>
        <w:t xml:space="preserve">设定</w:t>
      </w:r>
      <w:r>
        <w:rPr>
          <w:rFonts w:hint="eastAsia"/>
          <w:sz w:val="24"/>
          <w:szCs w:val="24"/>
          <w:highlight w:val="none"/>
        </w:rPr>
        <w:t xml:space="preserve">最高限价，最高限价为2</w:t>
      </w:r>
      <w:r>
        <w:rPr>
          <w:sz w:val="24"/>
          <w:szCs w:val="24"/>
          <w:highlight w:val="none"/>
        </w:rPr>
        <w:t xml:space="preserve">0</w:t>
      </w:r>
      <w:r>
        <w:rPr>
          <w:rFonts w:hint="eastAsia"/>
          <w:sz w:val="24"/>
          <w:szCs w:val="24"/>
          <w:highlight w:val="none"/>
        </w:rPr>
        <w:t xml:space="preserve">0万元。</w:t>
      </w:r>
      <w:r>
        <w:rPr>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5.采购需求（简介）：宿迁市人民检察院“两个中心”智能化建设补充项目，详细内容见采购需求部分。</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6.合同履行期限：接采购人通知后</w:t>
      </w:r>
      <w:r>
        <w:rPr>
          <w:rFonts w:hint="eastAsia"/>
          <w:sz w:val="24"/>
          <w:szCs w:val="24"/>
          <w:highlight w:val="none"/>
          <w:lang w:val="en-US" w:eastAsia="zh-CN"/>
        </w:rPr>
        <w:t xml:space="preserve">20</w:t>
      </w:r>
      <w:r>
        <w:rPr>
          <w:rFonts w:hint="eastAsia"/>
          <w:sz w:val="24"/>
          <w:szCs w:val="24"/>
          <w:highlight w:val="none"/>
        </w:rPr>
        <w:t xml:space="preserve">日历天内完成供货、安装、调试完毕经验收合格交付使用。 </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 不接受 </w:t>
      </w:r>
      <w:r>
        <w:rPr>
          <w:rFonts w:hint="eastAsia"/>
          <w:sz w:val="24"/>
          <w:szCs w:val="24"/>
          <w:highlight w:val="none"/>
        </w:rPr>
        <w:t xml:space="preserve">联合体投标。</w:t>
      </w:r>
      <w:r>
        <w:rPr>
          <w:rFonts w:hint="eastAsia"/>
          <w:sz w:val="24"/>
          <w:szCs w:val="24"/>
          <w:highlight w:val="none"/>
        </w:rPr>
      </w:r>
      <w:r/>
    </w:p>
    <w:p>
      <w:pPr>
        <w:pStyle w:val="667"/>
        <w:ind w:firstLine="498"/>
        <w:spacing w:before="145" w:after="145" w:line="360" w:lineRule="auto"/>
        <w:rPr>
          <w:highlight w:val="none"/>
        </w:rPr>
      </w:pPr>
      <w:r/>
      <w:bookmarkStart w:id="21" w:name="_Toc2991"/>
      <w:r/>
      <w:bookmarkStart w:id="22" w:name="_Toc35393622"/>
      <w:r/>
      <w:bookmarkStart w:id="23" w:name="_Toc35393791"/>
      <w:r/>
      <w:bookmarkStart w:id="24" w:name="_Toc13061"/>
      <w:r/>
      <w:bookmarkStart w:id="25" w:name="_Toc20809"/>
      <w:r/>
      <w:bookmarkStart w:id="26" w:name="_Toc28359080"/>
      <w:r/>
      <w:bookmarkStart w:id="27" w:name="_Toc38985264"/>
      <w:r/>
      <w:bookmarkStart w:id="28" w:name="_Toc28359003"/>
      <w:r>
        <w:rPr>
          <w:rFonts w:hint="eastAsia"/>
          <w:highlight w:val="none"/>
        </w:rPr>
        <w:t xml:space="preserve">二、申请人的资格要求：</w:t>
      </w:r>
      <w:bookmarkEnd w:id="21"/>
      <w:r/>
      <w:bookmarkEnd w:id="22"/>
      <w:r/>
      <w:bookmarkEnd w:id="23"/>
      <w:r/>
      <w:bookmarkEnd w:id="24"/>
      <w:r/>
      <w:bookmarkEnd w:id="25"/>
      <w:r/>
      <w:bookmarkEnd w:id="26"/>
      <w:r/>
      <w:bookmarkEnd w:id="27"/>
      <w:r/>
      <w:bookmarkEnd w:id="28"/>
      <w:r>
        <w:rPr>
          <w:highlight w:val="none"/>
        </w:rPr>
      </w:r>
      <w:r/>
    </w:p>
    <w:p>
      <w:pPr>
        <w:pStyle w:val="664"/>
        <w:ind w:firstLine="480"/>
        <w:spacing w:line="560" w:lineRule="exact"/>
        <w:rPr>
          <w:rFonts w:hint="eastAsia"/>
          <w:sz w:val="24"/>
          <w:szCs w:val="24"/>
          <w:highlight w:val="none"/>
        </w:rPr>
      </w:pPr>
      <w:r/>
      <w:bookmarkStart w:id="29" w:name="_Toc35393792"/>
      <w:r/>
      <w:bookmarkStart w:id="30" w:name="_Toc38985265"/>
      <w:r/>
      <w:bookmarkStart w:id="31" w:name="_Toc28359081"/>
      <w:r/>
      <w:bookmarkStart w:id="32" w:name="_Toc35393623"/>
      <w:r/>
      <w:bookmarkStart w:id="33" w:name="_Toc28359004"/>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1.具备《中华人民共和国政府采购法》第二十二条第一款规定的6项条件（按要求提供投标声明及承诺函）。</w:t>
      </w:r>
      <w:r>
        <w:rPr>
          <w:rFonts w:hint="eastAsia"/>
          <w:sz w:val="24"/>
          <w:szCs w:val="24"/>
          <w:highlight w:val="none"/>
        </w:rPr>
      </w:r>
      <w:r/>
    </w:p>
    <w:p>
      <w:pPr>
        <w:pStyle w:val="664"/>
        <w:ind w:firstLine="480"/>
        <w:spacing w:line="560" w:lineRule="exact"/>
        <w:rPr>
          <w:rFonts w:hint="eastAsia"/>
          <w:sz w:val="36"/>
          <w:szCs w:val="36"/>
          <w:highlight w:val="none"/>
        </w:rPr>
      </w:pPr>
      <w:r>
        <w:rPr>
          <w:rFonts w:hint="eastAsia"/>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sz w:val="36"/>
          <w:szCs w:val="36"/>
          <w:highlight w:val="none"/>
        </w:rPr>
      </w:r>
      <w:r/>
    </w:p>
    <w:p>
      <w:pPr>
        <w:pStyle w:val="664"/>
        <w:ind w:firstLine="960"/>
        <w:spacing w:line="560" w:lineRule="exact"/>
        <w:rPr>
          <w:rFonts w:cs="宋体"/>
          <w:sz w:val="24"/>
          <w:szCs w:val="24"/>
          <w:highlight w:val="none"/>
        </w:rPr>
      </w:pPr>
      <w:r>
        <w:rPr>
          <w:rFonts w:hint="eastAsia"/>
          <w:sz w:val="24"/>
          <w:szCs w:val="24"/>
          <w:highlight w:val="none"/>
        </w:rPr>
        <w:t xml:space="preserve">3.落实政府采购政策需满足的资格要求：无。</w:t>
      </w:r>
      <w:r>
        <w:rPr>
          <w:rFonts w:cs="宋体"/>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（二）本项目的特定资格要求：无。</w:t>
      </w:r>
      <w:r>
        <w:rPr>
          <w:rFonts w:hint="eastAsia"/>
          <w:sz w:val="24"/>
          <w:szCs w:val="24"/>
          <w:highlight w:val="none"/>
        </w:rPr>
      </w:r>
      <w:r/>
    </w:p>
    <w:p>
      <w:pPr>
        <w:pStyle w:val="667"/>
        <w:ind w:firstLine="498"/>
        <w:spacing w:before="145" w:after="145" w:line="360" w:lineRule="auto"/>
        <w:rPr>
          <w:highlight w:val="none"/>
        </w:rPr>
      </w:pPr>
      <w:r/>
      <w:bookmarkStart w:id="34" w:name="_Toc14641"/>
      <w:r/>
      <w:bookmarkStart w:id="35" w:name="_Toc30085"/>
      <w:r/>
      <w:bookmarkStart w:id="36" w:name="_Toc2521"/>
      <w:r>
        <w:rPr>
          <w:rFonts w:hint="eastAsia"/>
          <w:highlight w:val="none"/>
        </w:rPr>
        <w:t xml:space="preserve">三、获取招标文件</w:t>
      </w:r>
      <w:bookmarkEnd w:id="29"/>
      <w:r/>
      <w:bookmarkEnd w:id="30"/>
      <w:r/>
      <w:bookmarkEnd w:id="31"/>
      <w:r/>
      <w:bookmarkEnd w:id="32"/>
      <w:r/>
      <w:bookmarkEnd w:id="33"/>
      <w:r/>
      <w:bookmarkEnd w:id="34"/>
      <w:r/>
      <w:bookmarkEnd w:id="35"/>
      <w:r/>
      <w:bookmarkEnd w:id="36"/>
      <w:r>
        <w:rPr>
          <w:highlight w:val="none"/>
        </w:rPr>
      </w:r>
      <w:r/>
    </w:p>
    <w:p>
      <w:pPr>
        <w:pStyle w:val="664"/>
        <w:ind w:firstLine="480"/>
        <w:spacing w:line="560" w:lineRule="exact"/>
        <w:rPr>
          <w:rFonts w:hint="eastAsia" w:cs="宋体"/>
          <w:sz w:val="24"/>
          <w:szCs w:val="24"/>
          <w:highlight w:val="none"/>
        </w:rPr>
      </w:pPr>
      <w:r/>
      <w:bookmarkStart w:id="37" w:name="_Toc28359005"/>
      <w:r/>
      <w:bookmarkStart w:id="38" w:name="_Toc28359082"/>
      <w:r/>
      <w:bookmarkStart w:id="39" w:name="_Toc38985266"/>
      <w:r/>
      <w:bookmarkStart w:id="40" w:name="_Toc35393624"/>
      <w:r/>
      <w:bookmarkStart w:id="41" w:name="_Toc35393793"/>
      <w:r>
        <w:rPr>
          <w:rFonts w:hint="eastAsia" w:cs="宋体"/>
          <w:sz w:val="24"/>
          <w:szCs w:val="24"/>
          <w:highlight w:val="none"/>
        </w:rPr>
        <w:t xml:space="preserve">1.时间：2025年</w:t>
      </w:r>
      <w:r>
        <w:rPr>
          <w:rFonts w:hint="eastAsia" w:cs="宋体"/>
          <w:sz w:val="24"/>
          <w:szCs w:val="24"/>
          <w:highlight w:val="none"/>
          <w:lang w:val="en-US" w:eastAsia="zh-CN"/>
        </w:rPr>
        <w:t xml:space="preserve">10</w:t>
      </w:r>
      <w:r>
        <w:rPr>
          <w:rFonts w:hint="eastAsia" w:cs="宋体"/>
          <w:sz w:val="24"/>
          <w:szCs w:val="24"/>
          <w:highlight w:val="none"/>
        </w:rPr>
        <w:t xml:space="preserve">月</w:t>
      </w:r>
      <w:r>
        <w:rPr>
          <w:rFonts w:hint="eastAsia" w:cs="宋体"/>
          <w:sz w:val="24"/>
          <w:szCs w:val="24"/>
          <w:highlight w:val="none"/>
          <w:lang w:val="en-US" w:eastAsia="zh-CN"/>
        </w:rPr>
        <w:t xml:space="preserve">10</w:t>
      </w:r>
      <w:r>
        <w:rPr>
          <w:rFonts w:hint="eastAsia" w:cs="宋体"/>
          <w:sz w:val="24"/>
          <w:szCs w:val="24"/>
          <w:highlight w:val="none"/>
        </w:rPr>
        <w:t xml:space="preserve">日9:00至2025年</w:t>
      </w:r>
      <w:r>
        <w:rPr>
          <w:rFonts w:hint="eastAsia" w:cs="宋体"/>
          <w:sz w:val="24"/>
          <w:szCs w:val="24"/>
          <w:highlight w:val="none"/>
          <w:lang w:val="en-US" w:eastAsia="zh-CN"/>
        </w:rPr>
        <w:t xml:space="preserve">10</w:t>
      </w:r>
      <w:r>
        <w:rPr>
          <w:rFonts w:hint="eastAsia" w:cs="宋体"/>
          <w:sz w:val="24"/>
          <w:szCs w:val="24"/>
          <w:highlight w:val="none"/>
        </w:rPr>
        <w:t xml:space="preserve">月</w:t>
      </w:r>
      <w:r>
        <w:rPr>
          <w:rFonts w:hint="eastAsia" w:cs="宋体"/>
          <w:sz w:val="24"/>
          <w:szCs w:val="24"/>
          <w:highlight w:val="none"/>
          <w:lang w:val="en-US" w:eastAsia="zh-CN"/>
        </w:rPr>
        <w:t xml:space="preserve">15</w:t>
      </w:r>
      <w:r>
        <w:rPr>
          <w:rFonts w:hint="eastAsia" w:cs="宋体"/>
          <w:sz w:val="24"/>
          <w:szCs w:val="24"/>
          <w:highlight w:val="none"/>
        </w:rPr>
        <w:t xml:space="preserve">日</w:t>
      </w:r>
      <w:r>
        <w:rPr>
          <w:rFonts w:hint="eastAsia" w:cs="宋体"/>
          <w:sz w:val="24"/>
          <w:szCs w:val="24"/>
          <w:highlight w:val="none"/>
          <w:lang w:val="en-US" w:eastAsia="zh-CN"/>
        </w:rPr>
        <w:t xml:space="preserve">17</w:t>
      </w:r>
      <w:r>
        <w:rPr>
          <w:rFonts w:hint="eastAsia" w:cs="宋体"/>
          <w:sz w:val="24"/>
          <w:szCs w:val="24"/>
          <w:highlight w:val="none"/>
        </w:rPr>
        <w:t xml:space="preserve">:</w:t>
      </w:r>
      <w:r>
        <w:rPr>
          <w:rFonts w:hint="eastAsia" w:cs="宋体"/>
          <w:sz w:val="24"/>
          <w:szCs w:val="24"/>
          <w:highlight w:val="none"/>
          <w:lang w:val="en-US" w:eastAsia="zh-CN"/>
        </w:rPr>
        <w:t xml:space="preserve">30</w:t>
      </w:r>
      <w:r>
        <w:rPr>
          <w:rFonts w:hint="eastAsia" w:cs="宋体"/>
          <w:sz w:val="24"/>
          <w:szCs w:val="24"/>
          <w:highlight w:val="none"/>
        </w:rPr>
        <w:t xml:space="preserve">。</w:t>
      </w:r>
      <w:r>
        <w:rPr>
          <w:rFonts w:hint="eastAsia" w:cs="宋体"/>
          <w:sz w:val="24"/>
          <w:szCs w:val="24"/>
          <w:highlight w:val="none"/>
        </w:rPr>
      </w:r>
      <w:r/>
    </w:p>
    <w:p>
      <w:pPr>
        <w:pStyle w:val="664"/>
        <w:ind w:firstLine="480"/>
        <w:spacing w:line="560" w:lineRule="exact"/>
        <w:rPr>
          <w:rFonts w:hint="eastAsia" w:cs="宋体"/>
          <w:sz w:val="24"/>
          <w:szCs w:val="24"/>
          <w:highlight w:val="none"/>
        </w:rPr>
      </w:pPr>
      <w:r>
        <w:rPr>
          <w:rFonts w:hint="eastAsia" w:cs="宋体"/>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highlight w:val="none"/>
        </w:rPr>
      </w:r>
      <w:r/>
    </w:p>
    <w:p>
      <w:pPr>
        <w:pStyle w:val="664"/>
        <w:ind w:firstLine="480"/>
        <w:spacing w:line="560" w:lineRule="exact"/>
        <w:rPr>
          <w:rFonts w:hint="eastAsia" w:cs="宋体"/>
          <w:sz w:val="24"/>
          <w:szCs w:val="24"/>
          <w:highlight w:val="none"/>
        </w:rPr>
      </w:pPr>
      <w:r/>
      <w:bookmarkStart w:id="42" w:name="EB0c44ff4da61f4af989d119fe214be450"/>
      <w:r>
        <w:rPr>
          <w:rFonts w:hint="eastAsia" w:cs="宋体"/>
          <w:sz w:val="24"/>
          <w:szCs w:val="24"/>
          <w:highlight w:val="none"/>
        </w:rPr>
        <w:t xml:space="preserve">3.本项目共分一个包。投标人未按要求获取招标文件导致无法投标的，后果自负（其投标文件不予接受）。</w:t>
      </w:r>
      <w:bookmarkEnd w:id="42"/>
      <w:r>
        <w:rPr>
          <w:rFonts w:hint="eastAsia" w:cs="宋体"/>
          <w:sz w:val="24"/>
          <w:szCs w:val="24"/>
          <w:highlight w:val="none"/>
        </w:rPr>
      </w:r>
      <w:r/>
    </w:p>
    <w:p>
      <w:pPr>
        <w:pStyle w:val="667"/>
        <w:ind w:firstLine="498"/>
        <w:spacing w:before="145" w:after="145" w:line="360" w:lineRule="auto"/>
        <w:rPr>
          <w:highlight w:val="none"/>
        </w:rPr>
      </w:pPr>
      <w:r/>
      <w:bookmarkStart w:id="43" w:name="_Toc8125"/>
      <w:r/>
      <w:bookmarkStart w:id="44" w:name="_Toc7774"/>
      <w:r/>
      <w:bookmarkStart w:id="45" w:name="_Toc5796"/>
      <w:r>
        <w:rPr>
          <w:rFonts w:hint="eastAsia"/>
          <w:highlight w:val="none"/>
        </w:rPr>
        <w:t xml:space="preserve">四、提交投标文件</w:t>
      </w:r>
      <w:bookmarkEnd w:id="37"/>
      <w:r/>
      <w:bookmarkEnd w:id="38"/>
      <w:r>
        <w:rPr>
          <w:rFonts w:hint="eastAsia"/>
          <w:highlight w:val="none"/>
        </w:rPr>
        <w:t xml:space="preserve">截止时间、开标时间和地点</w:t>
      </w:r>
      <w:bookmarkEnd w:id="39"/>
      <w:r/>
      <w:bookmarkEnd w:id="40"/>
      <w:r/>
      <w:bookmarkEnd w:id="41"/>
      <w:r/>
      <w:bookmarkEnd w:id="43"/>
      <w:r/>
      <w:bookmarkEnd w:id="44"/>
      <w:r/>
      <w:bookmarkEnd w:id="45"/>
      <w:r>
        <w:rPr>
          <w:highlight w:val="none"/>
        </w:rPr>
      </w:r>
      <w:r/>
    </w:p>
    <w:p>
      <w:pPr>
        <w:pStyle w:val="664"/>
        <w:ind w:firstLine="480"/>
        <w:spacing w:line="560" w:lineRule="exact"/>
        <w:rPr>
          <w:bCs/>
          <w:sz w:val="24"/>
          <w:szCs w:val="24"/>
          <w:highlight w:val="none"/>
          <w:u w:val="singl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sz w:val="24"/>
          <w:szCs w:val="24"/>
          <w:highlight w:val="none"/>
          <w:u w:val="single"/>
        </w:rPr>
        <w:t xml:space="preserve">2025年</w:t>
      </w:r>
      <w:r>
        <w:rPr>
          <w:rFonts w:hint="eastAsia"/>
          <w:bCs/>
          <w:sz w:val="24"/>
          <w:szCs w:val="24"/>
          <w:highlight w:val="none"/>
          <w:u w:val="single"/>
          <w:lang w:val="en-US" w:eastAsia="zh-CN"/>
        </w:rPr>
        <w:t xml:space="preserve">1</w:t>
      </w:r>
      <w:r>
        <w:rPr>
          <w:rFonts w:hint="eastAsia"/>
          <w:bCs/>
          <w:sz w:val="24"/>
          <w:szCs w:val="24"/>
          <w:highlight w:val="none"/>
          <w:u w:val="single"/>
          <w:lang w:val="en-US" w:eastAsia="zh-CN"/>
        </w:rPr>
        <w:t xml:space="preserve">0</w:t>
      </w:r>
      <w:r>
        <w:rPr>
          <w:rFonts w:hint="eastAsia"/>
          <w:bCs/>
          <w:sz w:val="24"/>
          <w:szCs w:val="24"/>
          <w:highlight w:val="none"/>
          <w:u w:val="single"/>
        </w:rPr>
        <w:t xml:space="preserve">月</w:t>
      </w:r>
      <w:r>
        <w:rPr>
          <w:rFonts w:hint="eastAsia"/>
          <w:bCs/>
          <w:sz w:val="24"/>
          <w:szCs w:val="24"/>
          <w:highlight w:val="none"/>
          <w:u w:val="single"/>
          <w:lang w:val="en-US" w:eastAsia="zh-CN"/>
        </w:rPr>
        <w:t xml:space="preserve">3</w:t>
      </w:r>
      <w:r>
        <w:rPr>
          <w:rFonts w:hint="eastAsia"/>
          <w:bCs/>
          <w:sz w:val="24"/>
          <w:szCs w:val="24"/>
          <w:highlight w:val="none"/>
          <w:u w:val="single"/>
          <w:lang w:val="en-US" w:eastAsia="zh-CN"/>
        </w:rPr>
        <w:t xml:space="preserve">0</w:t>
      </w:r>
      <w:r>
        <w:rPr>
          <w:rFonts w:hint="eastAsia"/>
          <w:bCs/>
          <w:sz w:val="24"/>
          <w:szCs w:val="24"/>
          <w:highlight w:val="none"/>
          <w:u w:val="single"/>
        </w:rPr>
        <w:t xml:space="preserve">日9点30分</w:t>
      </w:r>
      <w:r>
        <w:rPr>
          <w:rFonts w:hint="eastAsia"/>
          <w:bCs/>
          <w:sz w:val="24"/>
          <w:szCs w:val="24"/>
          <w:highlight w:val="none"/>
        </w:rPr>
        <w:t xml:space="preserve">（北京时间）</w:t>
      </w:r>
      <w:r>
        <w:rPr>
          <w:bCs/>
          <w:sz w:val="24"/>
          <w:szCs w:val="24"/>
          <w:highlight w:val="none"/>
          <w:u w:val="single"/>
        </w:rPr>
      </w:r>
      <w:r/>
    </w:p>
    <w:p>
      <w:pPr>
        <w:pStyle w:val="664"/>
        <w:ind w:firstLine="480"/>
        <w:spacing w:line="560" w:lineRule="exact"/>
        <w:rPr>
          <w:rFonts w:hint="eastAsia" w:cs="宋体"/>
          <w:sz w:val="24"/>
          <w:szCs w:val="24"/>
          <w:highlight w:val="none"/>
        </w:rPr>
      </w:pPr>
      <w:r>
        <w:rPr>
          <w:rFonts w:hint="eastAsia" w:cs="宋体"/>
          <w:sz w:val="24"/>
          <w:szCs w:val="24"/>
          <w:highlight w:val="none"/>
        </w:rPr>
        <w:t xml:space="preserve">2.地点：“苏采云”政府采购交易系统网上开标大厅。</w:t>
      </w:r>
      <w:r>
        <w:rPr>
          <w:rFonts w:hint="eastAsia" w:cs="宋体"/>
          <w:sz w:val="24"/>
          <w:szCs w:val="24"/>
          <w:highlight w:val="none"/>
        </w:rPr>
      </w:r>
      <w:r/>
    </w:p>
    <w:p>
      <w:pPr>
        <w:pStyle w:val="667"/>
        <w:ind w:firstLine="498"/>
        <w:spacing w:before="145" w:after="145" w:line="360" w:lineRule="auto"/>
        <w:rPr>
          <w:highlight w:val="none"/>
        </w:rPr>
      </w:pPr>
      <w:r/>
      <w:bookmarkStart w:id="46" w:name="_Toc28359007"/>
      <w:r/>
      <w:bookmarkStart w:id="47" w:name="_Toc28359084"/>
      <w:r/>
      <w:bookmarkStart w:id="48" w:name="_Toc27004"/>
      <w:r/>
      <w:bookmarkStart w:id="49" w:name="_Toc35393794"/>
      <w:r/>
      <w:bookmarkStart w:id="50" w:name="_Toc35393625"/>
      <w:r/>
      <w:bookmarkStart w:id="51" w:name="_Toc16311"/>
      <w:r/>
      <w:bookmarkStart w:id="52" w:name="_Toc10266"/>
      <w:r/>
      <w:bookmarkStart w:id="53" w:name="_Toc38985267"/>
      <w:r>
        <w:rPr>
          <w:rFonts w:hint="eastAsia"/>
          <w:highlight w:val="none"/>
        </w:rPr>
        <w:t xml:space="preserve">五、公告期限</w:t>
      </w:r>
      <w:bookmarkEnd w:id="46"/>
      <w:r/>
      <w:bookmarkEnd w:id="47"/>
      <w:r/>
      <w:bookmarkEnd w:id="48"/>
      <w:r/>
      <w:bookmarkEnd w:id="49"/>
      <w:r/>
      <w:bookmarkEnd w:id="50"/>
      <w:r/>
      <w:bookmarkEnd w:id="51"/>
      <w:r/>
      <w:bookmarkEnd w:id="52"/>
      <w:r/>
      <w:bookmarkEnd w:id="53"/>
      <w:r>
        <w:rPr>
          <w:highlight w:val="none"/>
        </w:rPr>
      </w:r>
      <w:r/>
    </w:p>
    <w:p>
      <w:pPr>
        <w:pStyle w:val="664"/>
        <w:ind w:firstLine="482"/>
        <w:spacing w:line="560" w:lineRule="exact"/>
        <w:rPr>
          <w:rFonts w:cs="宋体"/>
          <w:sz w:val="24"/>
          <w:szCs w:val="24"/>
          <w:highlight w:val="none"/>
        </w:rPr>
      </w:pPr>
      <w:r/>
      <w:bookmarkStart w:id="54" w:name="_Toc38985268"/>
      <w:r/>
      <w:bookmarkStart w:id="55" w:name="_Toc35393795"/>
      <w:r/>
      <w:bookmarkStart w:id="56" w:name="_Toc35393626"/>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招标公告发布媒体：江苏政府采购网、宿迁市政府采购网等</w:t>
      </w:r>
      <w:r>
        <w:rPr>
          <w:rFonts w:hint="eastAsia" w:cs="宋体"/>
          <w:sz w:val="24"/>
          <w:szCs w:val="24"/>
          <w:highlight w:val="none"/>
        </w:rPr>
        <w:t xml:space="preserve">。</w:t>
      </w:r>
      <w:r>
        <w:rPr>
          <w:rFonts w:cs="宋体"/>
          <w:sz w:val="24"/>
          <w:szCs w:val="24"/>
          <w:highlight w:val="none"/>
        </w:rPr>
      </w:r>
      <w:r/>
    </w:p>
    <w:p>
      <w:pPr>
        <w:pStyle w:val="667"/>
        <w:ind w:firstLine="498"/>
        <w:spacing w:before="145" w:after="145" w:line="360" w:lineRule="auto"/>
        <w:rPr>
          <w:highlight w:val="none"/>
        </w:rPr>
      </w:pPr>
      <w:r/>
      <w:bookmarkStart w:id="57" w:name="_Toc13069"/>
      <w:r/>
      <w:bookmarkStart w:id="58" w:name="_Toc15718"/>
      <w:r/>
      <w:bookmarkStart w:id="59" w:name="_Toc32619"/>
      <w:r>
        <w:rPr>
          <w:rFonts w:hint="eastAsia"/>
          <w:highlight w:val="none"/>
        </w:rPr>
        <w:t xml:space="preserve">六、其他补充事宜</w:t>
      </w:r>
      <w:bookmarkEnd w:id="54"/>
      <w:r/>
      <w:bookmarkEnd w:id="55"/>
      <w:r/>
      <w:bookmarkEnd w:id="56"/>
      <w:r/>
      <w:bookmarkEnd w:id="57"/>
      <w:r/>
      <w:bookmarkEnd w:id="58"/>
      <w:r/>
      <w:bookmarkEnd w:id="59"/>
      <w:r>
        <w:rPr>
          <w:highlight w:val="none"/>
        </w:rPr>
      </w:r>
      <w:r/>
    </w:p>
    <w:p>
      <w:pPr>
        <w:pStyle w:val="664"/>
        <w:ind w:firstLine="480"/>
        <w:spacing w:line="560" w:lineRule="exact"/>
        <w:rPr>
          <w:rFonts w:hint="eastAsia"/>
          <w:sz w:val="24"/>
          <w:highlight w:val="none"/>
        </w:rPr>
      </w:pPr>
      <w:r/>
      <w:bookmarkStart w:id="60" w:name="EB64e1f522fd8c43fcb4d3ba471386b3e7"/>
      <w:r/>
      <w:bookmarkStart w:id="61" w:name="_Toc35393627"/>
      <w:r/>
      <w:bookmarkStart w:id="62" w:name="_Toc38985269"/>
      <w:r/>
      <w:bookmarkStart w:id="63" w:name="_Toc28359008"/>
      <w:r/>
      <w:bookmarkStart w:id="64" w:name="_Toc35393796"/>
      <w:r/>
      <w:bookmarkStart w:id="65" w:name="_Toc28359085"/>
      <w:r>
        <w:rPr>
          <w:rFonts w:hint="eastAsia"/>
          <w:sz w:val="24"/>
          <w:highlight w:val="none"/>
        </w:rPr>
        <w:t xml:space="preserve">1.财政部门监督电话：</w:t>
      </w:r>
      <w:r>
        <w:rPr>
          <w:rFonts w:hint="eastAsia" w:cs="宋体"/>
          <w:sz w:val="24"/>
          <w:szCs w:val="24"/>
          <w:highlight w:val="none"/>
        </w:rPr>
        <w:t xml:space="preserve">0527-84363063</w:t>
      </w:r>
      <w:r>
        <w:rPr>
          <w:rFonts w:hint="eastAsia"/>
          <w:sz w:val="24"/>
          <w:highlight w:val="none"/>
        </w:rPr>
        <w:t xml:space="preserve">。</w:t>
      </w:r>
      <w:r>
        <w:rPr>
          <w:rFonts w:hint="eastAsia"/>
          <w:sz w:val="24"/>
          <w:highlight w:val="none"/>
        </w:rPr>
      </w:r>
      <w:r/>
    </w:p>
    <w:p>
      <w:pPr>
        <w:pStyle w:val="664"/>
        <w:ind w:firstLine="480"/>
        <w:spacing w:line="560" w:lineRule="exact"/>
        <w:rPr>
          <w:rFonts w:hint="eastAsia"/>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sz w:val="24"/>
          <w:highlight w:val="none"/>
        </w:rPr>
      </w:r>
      <w:r/>
    </w:p>
    <w:p>
      <w:pPr>
        <w:pStyle w:val="745"/>
        <w:ind w:firstLine="480"/>
        <w:rPr>
          <w:rFonts w:hint="eastAsia"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3.宿迁地区“苏采云”技术支持客服电话：0527-84225125、0519-86722806。</w:t>
      </w:r>
      <w:r>
        <w:rPr>
          <w:rFonts w:hint="eastAsia" w:ascii="Times New Roman" w:hAnsi="Times New Roman" w:eastAsia="宋体" w:cs="Times New Roman"/>
          <w:sz w:val="24"/>
          <w:szCs w:val="21"/>
          <w:highlight w:val="none"/>
          <w:lang w:val="en-US"/>
        </w:rPr>
      </w:r>
      <w:r/>
    </w:p>
    <w:p>
      <w:pPr>
        <w:pStyle w:val="745"/>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r>
        <w:rPr>
          <w:rFonts w:ascii="Times New Roman" w:hAnsi="Times New Roman" w:eastAsia="宋体" w:cs="Times New Roman"/>
          <w:sz w:val="24"/>
          <w:szCs w:val="21"/>
          <w:highlight w:val="none"/>
          <w:lang w:val="en-US"/>
        </w:rPr>
      </w:r>
      <w:r/>
    </w:p>
    <w:p>
      <w:pPr>
        <w:pStyle w:val="664"/>
        <w:ind w:firstLine="480"/>
        <w:spacing w:line="560" w:lineRule="exact"/>
        <w:rPr>
          <w:rFonts w:hint="eastAsia" w:cs="仿宋_GB2312"/>
          <w:b/>
          <w:bCs/>
          <w:iCs/>
          <w:sz w:val="24"/>
          <w:highlight w:val="none"/>
        </w:rPr>
      </w:pPr>
      <w:r/>
      <w:bookmarkEnd w:id="60"/>
      <w:r>
        <w:rPr>
          <w:rFonts w:hint="eastAsia"/>
          <w:sz w:val="24"/>
          <w:highlight w:val="none"/>
        </w:rPr>
        <w:t xml:space="preserve">5.现场勘察及答疑：本项目不组织集中勘察及答疑，投标人如对采购需求有疑问，请咨询采购单位联系人。 </w:t>
      </w:r>
      <w:r>
        <w:rPr>
          <w:rFonts w:hint="eastAsia" w:cs="仿宋_GB2312"/>
          <w:b/>
          <w:bCs/>
          <w:iCs/>
          <w:sz w:val="24"/>
          <w:highlight w:val="none"/>
        </w:rPr>
      </w:r>
      <w:r/>
    </w:p>
    <w:p>
      <w:pPr>
        <w:pStyle w:val="667"/>
        <w:ind w:firstLine="498"/>
        <w:spacing w:before="145" w:after="145" w:line="360" w:lineRule="auto"/>
        <w:rPr>
          <w:highlight w:val="none"/>
        </w:rPr>
      </w:pPr>
      <w:r/>
      <w:bookmarkStart w:id="66" w:name="_Toc18122"/>
      <w:r/>
      <w:bookmarkStart w:id="67" w:name="_Toc22509"/>
      <w:r/>
      <w:bookmarkStart w:id="68" w:name="_Toc25108"/>
      <w:r>
        <w:rPr>
          <w:rFonts w:hint="eastAsia"/>
          <w:highlight w:val="none"/>
        </w:rPr>
        <w:t xml:space="preserve">七、本次招标联系方式</w:t>
      </w:r>
      <w:bookmarkEnd w:id="61"/>
      <w:r/>
      <w:bookmarkEnd w:id="62"/>
      <w:r/>
      <w:bookmarkEnd w:id="63"/>
      <w:r/>
      <w:bookmarkEnd w:id="64"/>
      <w:r/>
      <w:bookmarkEnd w:id="65"/>
      <w:r/>
      <w:bookmarkEnd w:id="66"/>
      <w:r/>
      <w:bookmarkEnd w:id="67"/>
      <w:r/>
      <w:bookmarkEnd w:id="68"/>
      <w:r>
        <w:rPr>
          <w:highlight w:val="none"/>
        </w:rPr>
      </w:r>
      <w:r/>
    </w:p>
    <w:p>
      <w:pPr>
        <w:pStyle w:val="664"/>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rPr>
          <w:sz w:val="24"/>
          <w:szCs w:val="24"/>
          <w:highlight w:val="none"/>
        </w:rPr>
      </w:r>
      <w:r/>
    </w:p>
    <w:p>
      <w:pPr>
        <w:pStyle w:val="664"/>
        <w:ind w:left="479" w:firstLine="180"/>
        <w:jc w:val="left"/>
        <w:spacing w:line="560" w:lineRule="exact"/>
        <w:rPr>
          <w:rFonts w:hint="eastAsia"/>
          <w:sz w:val="24"/>
          <w:szCs w:val="24"/>
          <w:highlight w:val="none"/>
        </w:rPr>
      </w:pPr>
      <w:r>
        <w:rPr>
          <w:rFonts w:hint="eastAsia"/>
          <w:sz w:val="24"/>
          <w:szCs w:val="24"/>
          <w:highlight w:val="none"/>
        </w:rPr>
        <w:t xml:space="preserve">名 称：</w:t>
      </w:r>
      <w:r>
        <w:rPr>
          <w:rFonts w:hint="eastAsia"/>
          <w:sz w:val="24"/>
          <w:szCs w:val="24"/>
          <w:highlight w:val="none"/>
          <w:u w:val="single"/>
        </w:rPr>
        <w:t xml:space="preserve">江苏省宿迁市人民检察院、宿迁市楚润数据集团有限公司</w:t>
      </w:r>
      <w:r>
        <w:rPr>
          <w:rFonts w:hint="eastAsia"/>
          <w:sz w:val="24"/>
          <w:szCs w:val="24"/>
          <w:highlight w:val="none"/>
        </w:rPr>
      </w:r>
      <w:r/>
    </w:p>
    <w:p>
      <w:pPr>
        <w:pStyle w:val="664"/>
        <w:ind w:left="479" w:firstLine="180"/>
        <w:jc w:val="left"/>
        <w:spacing w:line="560" w:lineRule="exact"/>
        <w:rPr>
          <w:sz w:val="24"/>
          <w:szCs w:val="24"/>
          <w:highlight w:val="none"/>
          <w:u w:val="single"/>
        </w:rPr>
      </w:pPr>
      <w:r>
        <w:rPr>
          <w:rFonts w:hint="eastAsia"/>
          <w:sz w:val="24"/>
          <w:szCs w:val="24"/>
          <w:highlight w:val="none"/>
        </w:rPr>
        <w:t xml:space="preserve">地 址：</w:t>
      </w:r>
      <w:r>
        <w:rPr>
          <w:rFonts w:hint="eastAsia"/>
          <w:color w:val="000000"/>
          <w:sz w:val="24"/>
          <w:szCs w:val="24"/>
          <w:highlight w:val="none"/>
          <w:u w:val="single"/>
        </w:rPr>
        <w:t xml:space="preserve">宿城区洪泽湖路131号、</w:t>
      </w:r>
      <w:r>
        <w:rPr>
          <w:rFonts w:hint="eastAsia"/>
          <w:sz w:val="24"/>
          <w:szCs w:val="24"/>
          <w:highlight w:val="none"/>
          <w:u w:val="single"/>
        </w:rPr>
        <w:t xml:space="preserve">宿迁市宿城区发展大道2496号二楼</w:t>
      </w:r>
      <w:r>
        <w:rPr>
          <w:sz w:val="24"/>
          <w:szCs w:val="24"/>
          <w:highlight w:val="none"/>
          <w:u w:val="single"/>
        </w:rPr>
      </w:r>
      <w:r/>
    </w:p>
    <w:p>
      <w:pPr>
        <w:pStyle w:val="664"/>
        <w:ind w:left="479" w:firstLine="180"/>
        <w:jc w:val="left"/>
        <w:spacing w:line="560" w:lineRule="exact"/>
        <w:rPr>
          <w:rFonts w:hint="eastAsia"/>
          <w:sz w:val="24"/>
          <w:szCs w:val="24"/>
          <w:highlight w:val="none"/>
          <w:u w:val="single"/>
        </w:rPr>
      </w:pPr>
      <w:r>
        <w:rPr>
          <w:rFonts w:hint="eastAsia"/>
          <w:sz w:val="24"/>
          <w:szCs w:val="24"/>
          <w:highlight w:val="none"/>
        </w:rPr>
        <w:t xml:space="preserve">联系人：</w:t>
      </w:r>
      <w:r>
        <w:rPr>
          <w:rFonts w:hint="eastAsia"/>
          <w:sz w:val="24"/>
          <w:szCs w:val="24"/>
          <w:highlight w:val="none"/>
          <w:u w:val="single"/>
        </w:rPr>
        <w:t xml:space="preserve">孙辉、司树飞</w:t>
      </w:r>
      <w:r>
        <w:rPr>
          <w:rFonts w:hint="eastAsia"/>
          <w:sz w:val="24"/>
          <w:szCs w:val="24"/>
          <w:highlight w:val="none"/>
          <w:u w:val="single"/>
        </w:rPr>
      </w:r>
      <w:r/>
    </w:p>
    <w:p>
      <w:pPr>
        <w:pStyle w:val="664"/>
        <w:ind w:left="479" w:firstLine="180"/>
        <w:jc w:val="left"/>
        <w:spacing w:line="560" w:lineRule="exact"/>
        <w:rPr>
          <w:sz w:val="24"/>
          <w:szCs w:val="24"/>
          <w:highlight w:val="none"/>
          <w:u w:val="single"/>
        </w:rPr>
      </w:pPr>
      <w:r>
        <w:rPr>
          <w:rFonts w:hint="eastAsia"/>
          <w:sz w:val="24"/>
          <w:szCs w:val="24"/>
          <w:highlight w:val="none"/>
        </w:rPr>
        <w:t xml:space="preserve">联系方式：</w:t>
      </w:r>
      <w:bookmarkStart w:id="69" w:name="_Toc28359009"/>
      <w:r/>
      <w:bookmarkStart w:id="70" w:name="_Toc28359086"/>
      <w:r>
        <w:rPr>
          <w:rFonts w:hint="eastAsia"/>
          <w:sz w:val="24"/>
          <w:szCs w:val="24"/>
          <w:highlight w:val="none"/>
          <w:u w:val="single"/>
        </w:rPr>
        <w:t xml:space="preserve">0</w:t>
      </w:r>
      <w:r>
        <w:rPr>
          <w:sz w:val="24"/>
          <w:szCs w:val="24"/>
          <w:highlight w:val="none"/>
          <w:u w:val="single"/>
        </w:rPr>
        <w:t xml:space="preserve">527-</w:t>
      </w:r>
      <w:r>
        <w:rPr>
          <w:rFonts w:hint="eastAsia"/>
          <w:sz w:val="24"/>
          <w:szCs w:val="24"/>
          <w:highlight w:val="none"/>
          <w:u w:val="single"/>
        </w:rPr>
        <w:t xml:space="preserve">8</w:t>
      </w:r>
      <w:r>
        <w:rPr>
          <w:sz w:val="24"/>
          <w:szCs w:val="24"/>
          <w:highlight w:val="none"/>
          <w:u w:val="single"/>
        </w:rPr>
        <w:t xml:space="preserve">4366759</w:t>
      </w:r>
      <w:r>
        <w:rPr>
          <w:rFonts w:hint="eastAsia"/>
          <w:sz w:val="24"/>
          <w:szCs w:val="24"/>
          <w:highlight w:val="none"/>
          <w:u w:val="single"/>
        </w:rPr>
        <w:t xml:space="preserve">、0527-81008586</w:t>
      </w:r>
      <w:r>
        <w:rPr>
          <w:sz w:val="24"/>
          <w:szCs w:val="24"/>
          <w:highlight w:val="none"/>
          <w:u w:val="single"/>
        </w:rPr>
      </w:r>
      <w:r/>
    </w:p>
    <w:p>
      <w:pPr>
        <w:pStyle w:val="664"/>
        <w:ind w:firstLine="480"/>
        <w:jc w:val="left"/>
        <w:spacing w:line="560" w:lineRule="exact"/>
        <w:widowControl/>
        <w:rPr>
          <w:sz w:val="24"/>
          <w:szCs w:val="24"/>
          <w:highlight w:val="none"/>
        </w:rPr>
      </w:pPr>
      <w:r>
        <w:rPr>
          <w:rFonts w:hint="eastAsia" w:cs="宋体"/>
          <w:sz w:val="24"/>
          <w:szCs w:val="24"/>
          <w:highlight w:val="none"/>
        </w:rPr>
        <w:t xml:space="preserve">2.</w:t>
      </w:r>
      <w:bookmarkEnd w:id="69"/>
      <w:r/>
      <w:bookmarkEnd w:id="70"/>
      <w:r>
        <w:rPr>
          <w:rFonts w:hint="eastAsia" w:cs="宋体"/>
          <w:sz w:val="24"/>
          <w:szCs w:val="24"/>
          <w:highlight w:val="none"/>
        </w:rPr>
        <w:t xml:space="preserve">采购代理机构信息</w:t>
      </w:r>
      <w:r>
        <w:rPr>
          <w:sz w:val="24"/>
          <w:szCs w:val="24"/>
          <w:highlight w:val="none"/>
        </w:rPr>
      </w:r>
      <w:r/>
    </w:p>
    <w:p>
      <w:pPr>
        <w:pStyle w:val="664"/>
        <w:ind w:left="479" w:firstLine="180"/>
        <w:jc w:val="left"/>
        <w:spacing w:line="560" w:lineRule="exact"/>
        <w:rPr>
          <w:sz w:val="24"/>
          <w:szCs w:val="24"/>
          <w:highlight w:val="none"/>
        </w:rPr>
      </w:pPr>
      <w:r>
        <w:rPr>
          <w:rFonts w:hint="eastAsia"/>
          <w:sz w:val="24"/>
          <w:szCs w:val="24"/>
          <w:highlight w:val="none"/>
        </w:rPr>
        <w:t xml:space="preserve">名 称：</w:t>
      </w:r>
      <w:r>
        <w:rPr>
          <w:rFonts w:hint="eastAsia"/>
          <w:sz w:val="24"/>
          <w:szCs w:val="24"/>
          <w:highlight w:val="none"/>
          <w:u w:val="single"/>
        </w:rPr>
        <w:t xml:space="preserve">江苏佳兴项目管理有限公司</w:t>
      </w:r>
      <w:r>
        <w:rPr>
          <w:sz w:val="24"/>
          <w:szCs w:val="24"/>
          <w:highlight w:val="none"/>
        </w:rPr>
      </w:r>
      <w:r/>
    </w:p>
    <w:p>
      <w:pPr>
        <w:pStyle w:val="664"/>
        <w:ind w:firstLine="720"/>
        <w:spacing w:line="560" w:lineRule="exact"/>
        <w:rPr>
          <w:sz w:val="24"/>
          <w:szCs w:val="24"/>
          <w:highlight w:val="none"/>
        </w:rPr>
      </w:pPr>
      <w:r>
        <w:rPr>
          <w:rFonts w:hint="eastAsia"/>
          <w:sz w:val="24"/>
          <w:szCs w:val="24"/>
          <w:highlight w:val="none"/>
        </w:rPr>
        <w:t xml:space="preserve">地 址：</w:t>
      </w:r>
      <w:r>
        <w:rPr>
          <w:rFonts w:hint="eastAsia"/>
          <w:sz w:val="24"/>
          <w:szCs w:val="24"/>
          <w:highlight w:val="none"/>
          <w:u w:val="single"/>
        </w:rPr>
        <w:t xml:space="preserve">宿迁经济技术开发区世纪大道299号</w:t>
      </w:r>
      <w:r>
        <w:rPr>
          <w:sz w:val="24"/>
          <w:szCs w:val="24"/>
          <w:highlight w:val="none"/>
        </w:rPr>
      </w:r>
      <w:r/>
    </w:p>
    <w:p>
      <w:pPr>
        <w:pStyle w:val="664"/>
        <w:ind w:firstLine="720"/>
        <w:spacing w:line="560" w:lineRule="exact"/>
        <w:rPr>
          <w:rFonts w:hint="eastAsia"/>
          <w:sz w:val="24"/>
          <w:szCs w:val="24"/>
          <w:highlight w:val="none"/>
          <w:u w:val="single"/>
        </w:rPr>
      </w:pPr>
      <w:r>
        <w:rPr>
          <w:rFonts w:hint="eastAsia"/>
          <w:sz w:val="24"/>
          <w:szCs w:val="24"/>
          <w:highlight w:val="none"/>
        </w:rPr>
        <w:t xml:space="preserve">联系人：</w:t>
      </w:r>
      <w:r>
        <w:rPr>
          <w:rFonts w:hint="eastAsia"/>
          <w:sz w:val="24"/>
          <w:szCs w:val="24"/>
          <w:highlight w:val="none"/>
          <w:u w:val="single"/>
        </w:rPr>
        <w:t xml:space="preserve">周璐</w:t>
      </w:r>
      <w:r>
        <w:rPr>
          <w:rFonts w:hint="eastAsia"/>
          <w:sz w:val="24"/>
          <w:szCs w:val="24"/>
          <w:highlight w:val="none"/>
          <w:u w:val="single"/>
        </w:rPr>
      </w:r>
      <w:r/>
    </w:p>
    <w:p>
      <w:pPr>
        <w:pStyle w:val="664"/>
        <w:ind w:firstLine="720"/>
        <w:spacing w:line="560" w:lineRule="exact"/>
        <w:rPr>
          <w:sz w:val="24"/>
          <w:szCs w:val="24"/>
          <w:highlight w:val="none"/>
        </w:rPr>
      </w:pPr>
      <w:r>
        <w:rPr>
          <w:rFonts w:hint="eastAsia"/>
          <w:sz w:val="24"/>
          <w:szCs w:val="24"/>
          <w:highlight w:val="none"/>
        </w:rPr>
        <w:t xml:space="preserve">联系方式：</w:t>
      </w:r>
      <w:bookmarkStart w:id="71" w:name="_Toc28359010"/>
      <w:r/>
      <w:bookmarkStart w:id="72" w:name="_Toc28359087"/>
      <w:r>
        <w:rPr>
          <w:sz w:val="24"/>
          <w:szCs w:val="24"/>
          <w:highlight w:val="none"/>
          <w:u w:val="single"/>
        </w:rPr>
        <w:t xml:space="preserve">0527-88858115</w:t>
      </w:r>
      <w:r>
        <w:rPr>
          <w:sz w:val="24"/>
          <w:szCs w:val="24"/>
          <w:highlight w:val="none"/>
        </w:rPr>
      </w:r>
      <w:r/>
    </w:p>
    <w:p>
      <w:pPr>
        <w:pStyle w:val="667"/>
        <w:ind w:firstLine="498"/>
        <w:spacing w:before="145" w:after="145" w:line="360" w:lineRule="auto"/>
        <w:rPr>
          <w:highlight w:val="none"/>
        </w:rPr>
      </w:pPr>
      <w:r/>
      <w:bookmarkEnd w:id="71"/>
      <w:r/>
      <w:bookmarkEnd w:id="72"/>
      <w:r/>
      <w:bookmarkStart w:id="73" w:name="_Toc9907"/>
      <w:r/>
      <w:bookmarkStart w:id="74" w:name="_Toc16779"/>
      <w:r/>
      <w:bookmarkStart w:id="75" w:name="_Toc25585"/>
      <w:r>
        <w:rPr>
          <w:rFonts w:hint="eastAsia"/>
          <w:highlight w:val="none"/>
        </w:rPr>
        <w:t xml:space="preserve">八、其他</w:t>
      </w:r>
      <w:bookmarkEnd w:id="73"/>
      <w:r/>
      <w:bookmarkEnd w:id="74"/>
      <w:r/>
      <w:bookmarkEnd w:id="75"/>
      <w:r>
        <w:rPr>
          <w:highlight w:val="none"/>
        </w:rPr>
      </w:r>
      <w:r/>
    </w:p>
    <w:p>
      <w:pPr>
        <w:pStyle w:val="664"/>
        <w:ind w:firstLine="480"/>
        <w:spacing w:line="560" w:lineRule="exact"/>
        <w:rPr>
          <w:rFonts w:hint="eastAsia" w:cs="仿宋_GB2312"/>
          <w:iCs/>
          <w:sz w:val="24"/>
          <w:highlight w:val="none"/>
        </w:rPr>
      </w:pPr>
      <w:r>
        <w:rPr>
          <w:rFonts w:hint="eastAsia" w:cs="仿宋_GB2312"/>
          <w:iCs/>
          <w:sz w:val="24"/>
          <w:highlight w:val="none"/>
        </w:rPr>
        <w:t xml:space="preserve">1.有关本次招标的事项若存在变动或修改，敬请及时关注“宿迁市政府采购网”等平台更正公告。</w:t>
      </w:r>
      <w:r>
        <w:rPr>
          <w:rFonts w:hint="eastAsia" w:cs="仿宋_GB2312"/>
          <w:iCs/>
          <w:sz w:val="24"/>
          <w:highlight w:val="none"/>
        </w:rPr>
      </w:r>
      <w:r/>
    </w:p>
    <w:p>
      <w:pPr>
        <w:pStyle w:val="664"/>
        <w:ind w:firstLine="482"/>
        <w:spacing w:line="560" w:lineRule="exact"/>
        <w:tabs>
          <w:tab w:val="left" w:pos="900" w:leader="none"/>
        </w:tabs>
        <w:rPr>
          <w:rFonts w:hint="eastAsia"/>
          <w:bCs/>
          <w:sz w:val="24"/>
          <w:szCs w:val="24"/>
          <w:highlight w:val="none"/>
        </w:rPr>
      </w:pPr>
      <w:r>
        <w:rPr>
          <w:rFonts w:hint="eastAsia" w:cs="仿宋_GB2312"/>
          <w:b/>
          <w:bCs/>
          <w:iCs/>
          <w:sz w:val="24"/>
          <w:highlight w:val="none"/>
        </w:rPr>
        <w:t xml:space="preserve">2</w:t>
      </w:r>
      <w:r>
        <w:rPr>
          <w:rFonts w:hint="eastAsia"/>
          <w:bCs/>
          <w:sz w:val="24"/>
          <w:szCs w:val="24"/>
          <w:highlight w:val="none"/>
        </w:rPr>
        <w:t xml:space="preserve">.本次招标不收取投标保证金。</w:t>
      </w:r>
      <w:r>
        <w:rPr>
          <w:rFonts w:hint="eastAsia"/>
          <w:bCs/>
          <w:sz w:val="24"/>
          <w:szCs w:val="24"/>
          <w:highlight w:val="none"/>
        </w:rPr>
      </w:r>
      <w:r/>
    </w:p>
    <w:p>
      <w:pPr>
        <w:pStyle w:val="664"/>
        <w:ind w:right="840"/>
        <w:rPr>
          <w:rFonts w:hint="eastAsia"/>
          <w:sz w:val="24"/>
          <w:szCs w:val="24"/>
          <w:highlight w:val="none"/>
        </w:rPr>
      </w:pPr>
      <w:r>
        <w:rPr>
          <w:rFonts w:hint="eastAsia"/>
          <w:sz w:val="24"/>
          <w:szCs w:val="24"/>
          <w:highlight w:val="none"/>
        </w:rPr>
        <w:br w:type="page" w:clear="all"/>
      </w:r>
      <w:r>
        <w:rPr>
          <w:rFonts w:hint="eastAsia"/>
          <w:sz w:val="24"/>
          <w:szCs w:val="24"/>
          <w:highlight w:val="none"/>
        </w:rPr>
      </w:r>
      <w:r/>
    </w:p>
    <w:p>
      <w:pPr>
        <w:pStyle w:val="665"/>
        <w:rPr>
          <w:rFonts w:hint="eastAsia" w:ascii="Times New Roman" w:eastAsia="黑体"/>
          <w:sz w:val="44"/>
          <w:szCs w:val="44"/>
          <w:highlight w:val="none"/>
        </w:rPr>
      </w:pPr>
      <w:r/>
      <w:bookmarkStart w:id="76" w:name="_Toc120614211"/>
      <w:r/>
      <w:bookmarkStart w:id="77" w:name="_Toc11385"/>
      <w:r/>
      <w:bookmarkStart w:id="78" w:name="_Toc1681"/>
      <w:r/>
      <w:bookmarkStart w:id="79" w:name="_Toc12362"/>
      <w:r>
        <w:rPr>
          <w:rFonts w:hint="eastAsia" w:ascii="Times New Roman" w:eastAsia="黑体"/>
          <w:sz w:val="44"/>
          <w:szCs w:val="44"/>
          <w:highlight w:val="none"/>
        </w:rPr>
        <w:t xml:space="preserve">第二章  </w:t>
      </w:r>
      <w:bookmarkEnd w:id="4"/>
      <w:r/>
      <w:bookmarkEnd w:id="5"/>
      <w:r/>
      <w:bookmarkEnd w:id="6"/>
      <w:r/>
      <w:bookmarkEnd w:id="7"/>
      <w:r/>
      <w:bookmarkEnd w:id="8"/>
      <w:r/>
      <w:bookmarkEnd w:id="76"/>
      <w:r/>
      <w:bookmarkStart w:id="80" w:name="_Toc20823274"/>
      <w:r/>
      <w:bookmarkStart w:id="81" w:name="_Toc120614213"/>
      <w:r/>
      <w:bookmarkStart w:id="82" w:name="_Toc16938518"/>
      <w:r/>
      <w:bookmarkStart w:id="83" w:name="_Toc513029202"/>
      <w:r>
        <w:rPr>
          <w:rFonts w:hint="eastAsia" w:ascii="Times New Roman" w:eastAsia="黑体"/>
          <w:sz w:val="44"/>
          <w:szCs w:val="44"/>
          <w:highlight w:val="none"/>
        </w:rPr>
        <w:t xml:space="preserve">投标人须知</w:t>
      </w:r>
      <w:bookmarkEnd w:id="77"/>
      <w:r/>
      <w:bookmarkEnd w:id="78"/>
      <w:r/>
      <w:bookmarkEnd w:id="79"/>
      <w:r/>
      <w:bookmarkEnd w:id="80"/>
      <w:r/>
      <w:bookmarkEnd w:id="81"/>
      <w:r/>
      <w:bookmarkEnd w:id="82"/>
      <w:r/>
      <w:bookmarkEnd w:id="83"/>
      <w:r>
        <w:rPr>
          <w:rFonts w:hint="eastAsia" w:ascii="Times New Roman" w:eastAsia="黑体"/>
          <w:sz w:val="44"/>
          <w:szCs w:val="44"/>
          <w:highlight w:val="none"/>
        </w:rPr>
      </w:r>
      <w:r/>
    </w:p>
    <w:p>
      <w:pPr>
        <w:pStyle w:val="667"/>
        <w:ind w:firstLine="498"/>
        <w:spacing w:before="0" w:after="0" w:line="560" w:lineRule="exact"/>
        <w:rPr>
          <w:rFonts w:hint="eastAsia"/>
          <w:highlight w:val="none"/>
        </w:rPr>
      </w:pPr>
      <w:r/>
      <w:bookmarkStart w:id="84" w:name="_Toc120614214"/>
      <w:r/>
      <w:bookmarkStart w:id="85" w:name="_Toc26994"/>
      <w:r/>
      <w:bookmarkStart w:id="86" w:name="_Toc20823275"/>
      <w:r/>
      <w:bookmarkStart w:id="87" w:name="_Toc16938519"/>
      <w:r/>
      <w:bookmarkStart w:id="88" w:name="_Toc17816"/>
      <w:r/>
      <w:bookmarkStart w:id="89" w:name="_Toc513029203"/>
      <w:r/>
      <w:bookmarkStart w:id="90" w:name="_Toc26491"/>
      <w:r>
        <w:rPr>
          <w:rFonts w:hint="eastAsia"/>
          <w:highlight w:val="none"/>
        </w:rPr>
        <w:t xml:space="preserve">一、总则</w:t>
      </w:r>
      <w:bookmarkEnd w:id="84"/>
      <w:r/>
      <w:bookmarkEnd w:id="85"/>
      <w:r/>
      <w:bookmarkEnd w:id="86"/>
      <w:r/>
      <w:bookmarkEnd w:id="87"/>
      <w:r/>
      <w:bookmarkEnd w:id="88"/>
      <w:r/>
      <w:bookmarkEnd w:id="89"/>
      <w:r/>
      <w:bookmarkEnd w:id="90"/>
      <w:r>
        <w:rPr>
          <w:rFonts w:hint="eastAsia"/>
          <w:highlight w:val="none"/>
        </w:rPr>
      </w:r>
      <w:r/>
    </w:p>
    <w:p>
      <w:pPr>
        <w:pStyle w:val="668"/>
        <w:ind w:firstLine="420"/>
        <w:spacing w:before="0" w:after="0" w:line="560" w:lineRule="exact"/>
        <w:rPr>
          <w:rFonts w:hint="eastAsia" w:ascii="Times New Roman" w:hAnsi="Times New Roman"/>
          <w:b w:val="0"/>
          <w:bCs w:val="0"/>
          <w:highlight w:val="none"/>
        </w:rPr>
      </w:pPr>
      <w:r/>
      <w:bookmarkStart w:id="91" w:name="_Hlt16619475"/>
      <w:r/>
      <w:bookmarkEnd w:id="91"/>
      <w:r/>
      <w:bookmarkStart w:id="92" w:name="_Toc458694821"/>
      <w:r/>
      <w:bookmarkStart w:id="93" w:name="_Toc16938520"/>
      <w:r/>
      <w:bookmarkStart w:id="94" w:name="_Toc513029204"/>
      <w:r/>
      <w:bookmarkStart w:id="95" w:name="_Toc20823276"/>
      <w:r>
        <w:rPr>
          <w:rFonts w:hint="eastAsia" w:ascii="Times New Roman" w:hAnsi="Times New Roman"/>
          <w:b w:val="0"/>
          <w:bCs w:val="0"/>
          <w:highlight w:val="none"/>
        </w:rPr>
        <w:t xml:space="preserve">1</w:t>
      </w:r>
      <w:bookmarkEnd w:id="92"/>
      <w:r>
        <w:rPr>
          <w:rFonts w:hint="eastAsia" w:ascii="Times New Roman" w:hAnsi="Times New Roman"/>
          <w:b w:val="0"/>
          <w:bCs w:val="0"/>
          <w:highlight w:val="none"/>
        </w:rPr>
        <w:t xml:space="preserve">、招标方式</w:t>
      </w:r>
      <w:bookmarkEnd w:id="93"/>
      <w:r/>
      <w:bookmarkEnd w:id="94"/>
      <w:r/>
      <w:bookmarkEnd w:id="95"/>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sz w:val="24"/>
          <w:highlight w:val="none"/>
        </w:rPr>
        <w:t xml:space="preserve">1.1 本次招标采取公开招标方式，本招标文件仅适用于招标公告中所述项目。</w:t>
      </w:r>
      <w:r>
        <w:rPr>
          <w:rFonts w:hint="eastAsia"/>
          <w:sz w:val="24"/>
          <w:highlight w:val="none"/>
        </w:rPr>
      </w:r>
      <w:r/>
    </w:p>
    <w:p>
      <w:pPr>
        <w:pStyle w:val="668"/>
        <w:ind w:firstLine="420"/>
        <w:spacing w:before="0" w:after="0" w:line="560" w:lineRule="exact"/>
        <w:rPr>
          <w:rFonts w:hint="eastAsia" w:ascii="Times New Roman" w:hAnsi="Times New Roman"/>
          <w:b w:val="0"/>
          <w:bCs w:val="0"/>
          <w:highlight w:val="none"/>
        </w:rPr>
      </w:pPr>
      <w:r/>
      <w:bookmarkStart w:id="96" w:name="_Toc16938521"/>
      <w:r/>
      <w:bookmarkStart w:id="97" w:name="_Toc513029205"/>
      <w:r/>
      <w:bookmarkStart w:id="98" w:name="_Toc20823277"/>
      <w:r>
        <w:rPr>
          <w:rFonts w:hint="eastAsia" w:ascii="Times New Roman" w:hAnsi="Times New Roman"/>
          <w:b w:val="0"/>
          <w:bCs w:val="0"/>
          <w:highlight w:val="none"/>
        </w:rPr>
        <w:t xml:space="preserve">2、合格的投标人</w:t>
      </w:r>
      <w:bookmarkEnd w:id="96"/>
      <w:r/>
      <w:bookmarkEnd w:id="97"/>
      <w:r/>
      <w:bookmarkEnd w:id="98"/>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sz w:val="24"/>
          <w:highlight w:val="none"/>
        </w:rPr>
        <w:t xml:space="preserve">2.1满足招标公告中投标人的资格要求的规定。</w:t>
      </w:r>
      <w:r>
        <w:rPr>
          <w:rFonts w:hint="eastAsia"/>
          <w:sz w:val="24"/>
          <w:highlight w:val="none"/>
        </w:rPr>
      </w:r>
      <w:r/>
    </w:p>
    <w:p>
      <w:pPr>
        <w:pStyle w:val="664"/>
        <w:ind w:firstLine="480"/>
        <w:spacing w:line="560" w:lineRule="exact"/>
        <w:rPr>
          <w:rFonts w:hint="eastAsia"/>
          <w:sz w:val="24"/>
          <w:highlight w:val="none"/>
        </w:rPr>
      </w:pPr>
      <w:r>
        <w:rPr>
          <w:rFonts w:hint="eastAsia"/>
          <w:sz w:val="24"/>
          <w:highlight w:val="none"/>
        </w:rPr>
        <w:t xml:space="preserve">2.2 满足本文件实质性要求和条件的规定。</w:t>
      </w:r>
      <w:r>
        <w:rPr>
          <w:rFonts w:hint="eastAsia"/>
          <w:sz w:val="24"/>
          <w:highlight w:val="none"/>
        </w:rPr>
      </w:r>
      <w:r/>
    </w:p>
    <w:p>
      <w:pPr>
        <w:pStyle w:val="668"/>
        <w:ind w:firstLine="420"/>
        <w:spacing w:before="0" w:after="0" w:line="560" w:lineRule="exact"/>
        <w:rPr>
          <w:rFonts w:hint="eastAsia" w:ascii="Times New Roman" w:hAnsi="Times New Roman"/>
          <w:b w:val="0"/>
          <w:bCs w:val="0"/>
          <w:highlight w:val="none"/>
        </w:rPr>
      </w:pPr>
      <w:r/>
      <w:bookmarkStart w:id="99" w:name="_Toc513029206"/>
      <w:r/>
      <w:bookmarkStart w:id="100" w:name="_Toc16938522"/>
      <w:r/>
      <w:bookmarkStart w:id="101" w:name="_Toc20823278"/>
      <w:r>
        <w:rPr>
          <w:rFonts w:hint="eastAsia" w:ascii="Times New Roman" w:hAnsi="Times New Roman"/>
          <w:b w:val="0"/>
          <w:bCs w:val="0"/>
          <w:highlight w:val="none"/>
        </w:rPr>
        <w:t xml:space="preserve">3、适用法律</w:t>
      </w:r>
      <w:bookmarkEnd w:id="99"/>
      <w:r/>
      <w:bookmarkEnd w:id="100"/>
      <w:r/>
      <w:bookmarkEnd w:id="101"/>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sz w:val="24"/>
          <w:highlight w:val="none"/>
        </w:rPr>
        <w:t xml:space="preserve">3.1 本次招标及由此产生的合同受中华人民共和国有关的法律法规制约和保护。</w:t>
      </w:r>
      <w:r>
        <w:rPr>
          <w:rFonts w:hint="eastAsia"/>
          <w:sz w:val="24"/>
          <w:highlight w:val="none"/>
        </w:rPr>
      </w:r>
      <w:r/>
    </w:p>
    <w:p>
      <w:pPr>
        <w:pStyle w:val="668"/>
        <w:ind w:firstLine="420"/>
        <w:spacing w:before="0" w:after="0" w:line="560" w:lineRule="exact"/>
        <w:rPr>
          <w:rFonts w:hint="eastAsia" w:ascii="Times New Roman" w:hAnsi="Times New Roman"/>
          <w:b w:val="0"/>
          <w:bCs w:val="0"/>
          <w:highlight w:val="none"/>
        </w:rPr>
      </w:pPr>
      <w:r/>
      <w:bookmarkStart w:id="102" w:name="_Toc513029207"/>
      <w:r/>
      <w:bookmarkStart w:id="103" w:name="_Toc462564067"/>
      <w:r/>
      <w:bookmarkStart w:id="104" w:name="_Toc20823279"/>
      <w:r/>
      <w:bookmarkStart w:id="105" w:name="_Toc16938523"/>
      <w:r>
        <w:rPr>
          <w:rFonts w:hint="eastAsia" w:ascii="Times New Roman" w:hAnsi="Times New Roman"/>
          <w:b w:val="0"/>
          <w:bCs w:val="0"/>
          <w:highlight w:val="none"/>
        </w:rPr>
        <w:t xml:space="preserve">4、投标费用</w:t>
      </w:r>
      <w:bookmarkEnd w:id="102"/>
      <w:r/>
      <w:bookmarkEnd w:id="103"/>
      <w:r/>
      <w:bookmarkEnd w:id="104"/>
      <w:r/>
      <w:bookmarkEnd w:id="105"/>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sz w:val="24"/>
          <w:highlight w:val="none"/>
        </w:rPr>
        <w:t xml:space="preserve">4.1 投标人应自行承担所有与参加投标有关的费用，无论投标过程中的做法和结果如何，</w:t>
      </w:r>
      <w:r>
        <w:rPr>
          <w:rFonts w:hint="eastAsia"/>
          <w:sz w:val="24"/>
          <w:szCs w:val="24"/>
          <w:highlight w:val="none"/>
          <w:u w:val="single"/>
        </w:rPr>
        <w:t xml:space="preserve">江苏佳兴项目管理有限公司</w:t>
      </w:r>
      <w:r>
        <w:rPr>
          <w:rFonts w:hint="eastAsia"/>
          <w:sz w:val="24"/>
          <w:highlight w:val="none"/>
        </w:rPr>
        <w:t xml:space="preserve">（以下简称采购代理机构）在任何情况下均无义务和责任承担这些费用。</w:t>
      </w:r>
      <w:r>
        <w:rPr>
          <w:rFonts w:hint="eastAsia"/>
          <w:sz w:val="24"/>
          <w:highlight w:val="none"/>
        </w:rPr>
      </w:r>
      <w:r/>
    </w:p>
    <w:p>
      <w:pPr>
        <w:pStyle w:val="664"/>
        <w:ind w:firstLine="480"/>
        <w:spacing w:line="560" w:lineRule="exact"/>
        <w:rPr>
          <w:rFonts w:hint="eastAsia"/>
          <w:sz w:val="24"/>
          <w:highlight w:val="none"/>
        </w:rPr>
      </w:pPr>
      <w:r>
        <w:rPr>
          <w:rFonts w:hint="eastAsia"/>
          <w:sz w:val="24"/>
          <w:highlight w:val="none"/>
        </w:rPr>
        <w:t xml:space="preserve">4.2代理费用收取方式及标准：按以下第</w:t>
      </w:r>
      <w:r>
        <w:rPr>
          <w:rFonts w:hint="eastAsia"/>
          <w:sz w:val="24"/>
          <w:highlight w:val="none"/>
          <w:u w:val="single"/>
        </w:rPr>
        <w:t xml:space="preserve">  4.2.2  </w:t>
      </w:r>
      <w:r>
        <w:rPr>
          <w:rFonts w:hint="eastAsia"/>
          <w:sz w:val="24"/>
          <w:highlight w:val="none"/>
        </w:rPr>
        <w:t xml:space="preserve"> 种方式执行</w:t>
      </w:r>
      <w:r>
        <w:rPr>
          <w:rFonts w:hint="eastAsia"/>
          <w:sz w:val="24"/>
          <w:highlight w:val="none"/>
        </w:rPr>
      </w:r>
      <w:r/>
    </w:p>
    <w:p>
      <w:pPr>
        <w:pStyle w:val="664"/>
        <w:ind w:firstLine="480"/>
        <w:spacing w:line="560" w:lineRule="exact"/>
        <w:rPr>
          <w:rFonts w:hint="eastAsia"/>
          <w:sz w:val="24"/>
          <w:highlight w:val="none"/>
          <w:lang w:val="zh-CN"/>
        </w:rPr>
      </w:pPr>
      <w:r>
        <w:rPr>
          <w:rFonts w:hint="eastAsia"/>
          <w:sz w:val="24"/>
          <w:highlight w:val="none"/>
          <w:lang w:val="zh-CN"/>
        </w:rPr>
        <w:t xml:space="preserve">4.2.1无需支付；</w:t>
      </w:r>
      <w:r>
        <w:rPr>
          <w:rFonts w:hint="eastAsia"/>
          <w:sz w:val="24"/>
          <w:highlight w:val="none"/>
          <w:lang w:val="zh-CN"/>
        </w:rPr>
      </w:r>
      <w:r/>
    </w:p>
    <w:p>
      <w:pPr>
        <w:pStyle w:val="745"/>
        <w:ind w:firstLine="480"/>
        <w:rPr>
          <w:rFonts w:hint="eastAsia"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zh-CN"/>
        </w:rPr>
        <w:t xml:space="preserve">4.2.2具体方式及标准为：</w:t>
      </w:r>
      <w:r>
        <w:rPr>
          <w:rFonts w:hint="eastAsia" w:ascii="宋体" w:hAnsi="宋体" w:eastAsia="宋体" w:cs="Times New Roman"/>
          <w:sz w:val="24"/>
          <w:szCs w:val="24"/>
          <w:highlight w:val="none"/>
          <w:u w:val="single"/>
          <w:lang w:val="en-US"/>
        </w:rPr>
        <w:t xml:space="preserve">参照国家计委计价格[2002]1980号文件规定标准*58%向代理单位支付代理服务费。支付方式可以通过转账或数字人民币等方式。</w:t>
      </w:r>
      <w:r>
        <w:rPr>
          <w:rFonts w:hint="eastAsia" w:ascii="Times New Roman" w:hAnsi="Times New Roman" w:eastAsia="宋体" w:cs="Times New Roman"/>
          <w:sz w:val="24"/>
          <w:szCs w:val="21"/>
          <w:highlight w:val="none"/>
          <w:lang w:val="en-US"/>
        </w:rPr>
        <w:t xml:space="preserve"> </w:t>
      </w:r>
      <w:r>
        <w:rPr>
          <w:rFonts w:hint="eastAsia" w:ascii="Times New Roman" w:hAnsi="Times New Roman" w:eastAsia="宋体" w:cs="Times New Roman"/>
          <w:sz w:val="24"/>
          <w:szCs w:val="21"/>
          <w:highlight w:val="none"/>
          <w:lang w:val="en-US"/>
        </w:rPr>
      </w:r>
      <w:r/>
    </w:p>
    <w:p>
      <w:pPr>
        <w:pStyle w:val="668"/>
        <w:ind w:firstLine="602"/>
        <w:spacing w:before="0" w:after="0" w:line="560" w:lineRule="exact"/>
        <w:rPr>
          <w:rFonts w:hint="eastAsia" w:ascii="Times New Roman" w:hAnsi="Times New Roman"/>
          <w:b w:val="0"/>
          <w:bCs w:val="0"/>
          <w:highlight w:val="none"/>
        </w:rPr>
      </w:pPr>
      <w:r>
        <w:rPr>
          <w:rFonts w:hint="eastAsia" w:ascii="Times New Roman" w:hAnsi="Times New Roman"/>
          <w:sz w:val="30"/>
          <w:highlight w:val="none"/>
        </w:rPr>
        <w:t xml:space="preserve">5、</w:t>
      </w:r>
      <w:r>
        <w:rPr>
          <w:rFonts w:hint="eastAsia" w:ascii="Times New Roman" w:hAnsi="Times New Roman"/>
          <w:b w:val="0"/>
          <w:bCs w:val="0"/>
          <w:highlight w:val="none"/>
        </w:rPr>
        <w:t xml:space="preserve">招标文件的约束力</w:t>
      </w:r>
      <w:r>
        <w:rPr>
          <w:rFonts w:hint="eastAsia" w:ascii="Times New Roman" w:hAnsi="Times New Roman"/>
          <w:b w:val="0"/>
          <w:bCs w:val="0"/>
          <w:highlight w:val="none"/>
        </w:rPr>
      </w:r>
      <w:r/>
    </w:p>
    <w:p>
      <w:pPr>
        <w:pStyle w:val="664"/>
        <w:ind w:firstLine="480"/>
        <w:spacing w:line="560" w:lineRule="exact"/>
        <w:rPr>
          <w:rFonts w:hint="eastAsia"/>
          <w:sz w:val="24"/>
          <w:szCs w:val="24"/>
          <w:highlight w:val="none"/>
        </w:rPr>
      </w:pPr>
      <w:r>
        <w:rPr>
          <w:rFonts w:hint="eastAsia"/>
          <w:bCs/>
          <w:sz w:val="24"/>
          <w:szCs w:val="24"/>
          <w:highlight w:val="none"/>
        </w:rPr>
        <w:t xml:space="preserve">5.1</w:t>
      </w:r>
      <w:r>
        <w:rPr>
          <w:rFonts w:hint="eastAsia"/>
          <w:sz w:val="24"/>
          <w:szCs w:val="24"/>
          <w:highlight w:val="none"/>
        </w:rPr>
        <w:t xml:space="preserve"> 投标人一旦参加本项目采购活动，即被认为接受了本招标文件的规定和约束。</w:t>
      </w:r>
      <w:r>
        <w:rPr>
          <w:rFonts w:hint="eastAsia"/>
          <w:sz w:val="24"/>
          <w:szCs w:val="24"/>
          <w:highlight w:val="none"/>
        </w:rPr>
      </w:r>
      <w:r/>
    </w:p>
    <w:p>
      <w:pPr>
        <w:pStyle w:val="667"/>
        <w:ind w:firstLine="321"/>
        <w:spacing w:before="0" w:after="0" w:line="560" w:lineRule="exact"/>
        <w:rPr>
          <w:rFonts w:hint="eastAsia"/>
          <w:highlight w:val="none"/>
        </w:rPr>
      </w:pPr>
      <w:r/>
      <w:bookmarkStart w:id="106" w:name="_Toc120614215"/>
      <w:r/>
      <w:bookmarkStart w:id="107" w:name="_Toc16938525"/>
      <w:r/>
      <w:bookmarkStart w:id="108" w:name="_Toc14536"/>
      <w:r/>
      <w:bookmarkStart w:id="109" w:name="_Toc5685"/>
      <w:r/>
      <w:bookmarkStart w:id="110" w:name="_Toc22114"/>
      <w:r/>
      <w:bookmarkStart w:id="111" w:name="_Toc513029209"/>
      <w:r/>
      <w:bookmarkStart w:id="112" w:name="_Toc20823281"/>
      <w:r>
        <w:rPr>
          <w:rFonts w:hint="eastAsia"/>
          <w:highlight w:val="none"/>
        </w:rPr>
        <w:t xml:space="preserve">二、招标文件</w:t>
      </w:r>
      <w:bookmarkEnd w:id="106"/>
      <w:r/>
      <w:bookmarkEnd w:id="107"/>
      <w:r/>
      <w:bookmarkEnd w:id="108"/>
      <w:r/>
      <w:bookmarkEnd w:id="109"/>
      <w:r/>
      <w:bookmarkEnd w:id="110"/>
      <w:r/>
      <w:bookmarkEnd w:id="111"/>
      <w:r/>
      <w:bookmarkEnd w:id="112"/>
      <w:r>
        <w:rPr>
          <w:rFonts w:hint="eastAsia"/>
          <w:highlight w:val="none"/>
        </w:rPr>
      </w:r>
      <w:r/>
    </w:p>
    <w:p>
      <w:pPr>
        <w:pStyle w:val="668"/>
        <w:ind w:firstLine="420"/>
        <w:spacing w:before="0" w:after="0" w:line="560" w:lineRule="exact"/>
        <w:rPr>
          <w:rFonts w:hint="eastAsia" w:ascii="Times New Roman" w:hAnsi="Times New Roman"/>
          <w:b w:val="0"/>
          <w:bCs w:val="0"/>
          <w:highlight w:val="none"/>
        </w:rPr>
      </w:pPr>
      <w:r/>
      <w:bookmarkStart w:id="113" w:name="_Toc16938526"/>
      <w:r/>
      <w:bookmarkStart w:id="114" w:name="_Toc513029210"/>
      <w:r/>
      <w:bookmarkStart w:id="115" w:name="_Toc20823282"/>
      <w:r>
        <w:rPr>
          <w:rFonts w:hint="eastAsia" w:ascii="Times New Roman" w:hAnsi="Times New Roman"/>
          <w:b w:val="0"/>
          <w:bCs w:val="0"/>
          <w:highlight w:val="none"/>
        </w:rPr>
        <w:t xml:space="preserve">6、招标文件构成</w:t>
      </w:r>
      <w:bookmarkEnd w:id="113"/>
      <w:r/>
      <w:bookmarkEnd w:id="114"/>
      <w:r/>
      <w:bookmarkEnd w:id="115"/>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bCs/>
          <w:sz w:val="24"/>
          <w:highlight w:val="none"/>
        </w:rPr>
        <w:t xml:space="preserve">6.1</w:t>
      </w:r>
      <w:r>
        <w:rPr>
          <w:rFonts w:hint="eastAsia"/>
          <w:sz w:val="24"/>
          <w:highlight w:val="none"/>
        </w:rPr>
        <w:t xml:space="preserve"> 招标文件由以下部分组成：</w:t>
      </w:r>
      <w:r>
        <w:rPr>
          <w:rFonts w:hint="eastAsia"/>
          <w:sz w:val="24"/>
          <w:highlight w:val="none"/>
        </w:rPr>
      </w:r>
      <w:r/>
    </w:p>
    <w:p>
      <w:pPr>
        <w:pStyle w:val="664"/>
        <w:ind w:firstLine="360"/>
        <w:spacing w:line="560" w:lineRule="exact"/>
        <w:rPr>
          <w:rFonts w:hint="eastAsia"/>
          <w:sz w:val="24"/>
          <w:szCs w:val="24"/>
          <w:highlight w:val="none"/>
        </w:rPr>
      </w:pPr>
      <w:r>
        <w:rPr>
          <w:rFonts w:hint="eastAsia"/>
          <w:sz w:val="24"/>
          <w:szCs w:val="24"/>
          <w:highlight w:val="none"/>
        </w:rPr>
        <w:t xml:space="preserve">（1）投标</w:t>
      </w:r>
      <w:r>
        <w:rPr>
          <w:sz w:val="24"/>
          <w:szCs w:val="24"/>
          <w:highlight w:val="none"/>
        </w:rPr>
        <w:t xml:space="preserve">邀请</w:t>
      </w:r>
      <w:r>
        <w:rPr>
          <w:rFonts w:hint="eastAsia"/>
          <w:sz w:val="24"/>
          <w:szCs w:val="24"/>
          <w:highlight w:val="none"/>
        </w:rPr>
      </w:r>
      <w:r/>
    </w:p>
    <w:p>
      <w:pPr>
        <w:pStyle w:val="664"/>
        <w:ind w:firstLine="360"/>
        <w:spacing w:line="560" w:lineRule="exact"/>
        <w:rPr>
          <w:rFonts w:hint="eastAsia"/>
          <w:sz w:val="24"/>
          <w:szCs w:val="24"/>
          <w:highlight w:val="none"/>
        </w:rPr>
      </w:pPr>
      <w:r>
        <w:rPr>
          <w:rFonts w:hint="eastAsia"/>
          <w:sz w:val="24"/>
          <w:szCs w:val="24"/>
          <w:highlight w:val="none"/>
        </w:rPr>
        <w:t xml:space="preserve">（2）投标人须知</w:t>
      </w:r>
      <w:r>
        <w:rPr>
          <w:rFonts w:hint="eastAsia"/>
          <w:sz w:val="24"/>
          <w:szCs w:val="24"/>
          <w:highlight w:val="none"/>
        </w:rPr>
      </w:r>
      <w:r/>
    </w:p>
    <w:p>
      <w:pPr>
        <w:pStyle w:val="664"/>
        <w:ind w:firstLine="360"/>
        <w:spacing w:line="560" w:lineRule="exact"/>
        <w:rPr>
          <w:rFonts w:hint="eastAsia"/>
          <w:sz w:val="24"/>
          <w:szCs w:val="24"/>
          <w:highlight w:val="none"/>
        </w:rPr>
      </w:pPr>
      <w:r>
        <w:rPr>
          <w:rFonts w:hint="eastAsia"/>
          <w:sz w:val="24"/>
          <w:szCs w:val="24"/>
          <w:highlight w:val="none"/>
        </w:rPr>
        <w:t xml:space="preserve">（3）合同文本</w:t>
      </w:r>
      <w:r>
        <w:rPr>
          <w:rFonts w:hint="eastAsia"/>
          <w:sz w:val="24"/>
          <w:szCs w:val="24"/>
          <w:highlight w:val="none"/>
        </w:rPr>
      </w:r>
      <w:r/>
    </w:p>
    <w:p>
      <w:pPr>
        <w:pStyle w:val="664"/>
        <w:ind w:firstLine="360"/>
        <w:spacing w:line="560" w:lineRule="exact"/>
        <w:rPr>
          <w:rFonts w:hint="eastAsia"/>
          <w:sz w:val="24"/>
          <w:szCs w:val="24"/>
          <w:highlight w:val="none"/>
        </w:rPr>
      </w:pPr>
      <w:r>
        <w:rPr>
          <w:rFonts w:hint="eastAsia"/>
          <w:sz w:val="24"/>
          <w:szCs w:val="24"/>
          <w:highlight w:val="none"/>
        </w:rPr>
        <w:t xml:space="preserve">（4）采购需求</w:t>
      </w:r>
      <w:r>
        <w:rPr>
          <w:rFonts w:hint="eastAsia"/>
          <w:sz w:val="24"/>
          <w:szCs w:val="24"/>
          <w:highlight w:val="none"/>
        </w:rPr>
      </w:r>
      <w:r/>
    </w:p>
    <w:p>
      <w:pPr>
        <w:pStyle w:val="664"/>
        <w:ind w:firstLine="360"/>
        <w:spacing w:line="560" w:lineRule="exact"/>
        <w:rPr>
          <w:rFonts w:hint="eastAsia"/>
          <w:sz w:val="24"/>
          <w:szCs w:val="24"/>
          <w:highlight w:val="none"/>
        </w:rPr>
      </w:pPr>
      <w:r>
        <w:rPr>
          <w:rFonts w:hint="eastAsia"/>
          <w:sz w:val="24"/>
          <w:szCs w:val="24"/>
          <w:highlight w:val="none"/>
        </w:rPr>
        <w:t xml:space="preserve">（5）评标方法与评标标准</w:t>
      </w:r>
      <w:r>
        <w:rPr>
          <w:rFonts w:hint="eastAsia"/>
          <w:sz w:val="24"/>
          <w:szCs w:val="24"/>
          <w:highlight w:val="none"/>
        </w:rPr>
      </w:r>
      <w:r/>
    </w:p>
    <w:p>
      <w:pPr>
        <w:pStyle w:val="664"/>
        <w:ind w:firstLine="360"/>
        <w:spacing w:line="560" w:lineRule="exact"/>
        <w:rPr>
          <w:rFonts w:hint="eastAsia"/>
          <w:sz w:val="24"/>
          <w:szCs w:val="24"/>
          <w:highlight w:val="none"/>
        </w:rPr>
      </w:pPr>
      <w:r>
        <w:rPr>
          <w:rFonts w:hint="eastAsia"/>
          <w:sz w:val="24"/>
          <w:szCs w:val="24"/>
          <w:highlight w:val="none"/>
        </w:rPr>
        <w:t xml:space="preserve">（6）投标文件格式</w:t>
      </w:r>
      <w:r>
        <w:rPr>
          <w:rFonts w:hint="eastAsia"/>
          <w:sz w:val="24"/>
          <w:szCs w:val="24"/>
          <w:highlight w:val="none"/>
        </w:rPr>
      </w:r>
      <w:r/>
    </w:p>
    <w:p>
      <w:pPr>
        <w:pStyle w:val="664"/>
        <w:ind w:firstLine="480"/>
        <w:spacing w:line="560" w:lineRule="exact"/>
        <w:rPr>
          <w:rFonts w:hint="eastAsia"/>
          <w:sz w:val="24"/>
          <w:highlight w:val="none"/>
        </w:rPr>
      </w:pPr>
      <w:r>
        <w:rPr>
          <w:rFonts w:hint="eastAsia"/>
          <w:sz w:val="24"/>
          <w:highlight w:val="none"/>
        </w:rPr>
        <w:t xml:space="preserve">请仔细检查招标文件是否齐全，如有缺漏请立即与采购代理机构联系解决。</w:t>
      </w:r>
      <w:r>
        <w:rPr>
          <w:rFonts w:hint="eastAsia"/>
          <w:sz w:val="24"/>
          <w:highlight w:val="none"/>
        </w:rPr>
      </w:r>
      <w:r/>
    </w:p>
    <w:p>
      <w:pPr>
        <w:pStyle w:val="664"/>
        <w:ind w:firstLine="480"/>
        <w:spacing w:line="560" w:lineRule="exact"/>
        <w:rPr>
          <w:rFonts w:hint="eastAsia"/>
          <w:sz w:val="24"/>
          <w:highlight w:val="none"/>
        </w:rPr>
      </w:pPr>
      <w:r>
        <w:rPr>
          <w:rFonts w:hint="eastAsia"/>
          <w:bCs/>
          <w:sz w:val="24"/>
          <w:highlight w:val="none"/>
        </w:rPr>
        <w:t xml:space="preserve">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highlight w:val="none"/>
        </w:rPr>
      </w:r>
      <w:r/>
    </w:p>
    <w:p>
      <w:pPr>
        <w:pStyle w:val="668"/>
        <w:ind w:firstLine="560"/>
        <w:spacing w:before="0" w:after="0" w:line="560" w:lineRule="exact"/>
        <w:rPr>
          <w:rFonts w:hint="eastAsia" w:ascii="Times New Roman" w:hAnsi="Times New Roman"/>
          <w:b w:val="0"/>
          <w:bCs w:val="0"/>
          <w:highlight w:val="none"/>
        </w:rPr>
      </w:pPr>
      <w:r/>
      <w:bookmarkStart w:id="116" w:name="_Toc20823283"/>
      <w:r/>
      <w:bookmarkStart w:id="117" w:name="_Toc513029211"/>
      <w:r/>
      <w:bookmarkStart w:id="118" w:name="_Toc16938527"/>
      <w:r/>
      <w:bookmarkStart w:id="119" w:name="_Toc462564070"/>
      <w:r>
        <w:rPr>
          <w:rFonts w:hint="eastAsia" w:ascii="Times New Roman" w:hAnsi="Times New Roman"/>
          <w:b w:val="0"/>
          <w:bCs w:val="0"/>
          <w:highlight w:val="none"/>
        </w:rPr>
        <w:t xml:space="preserve">7、招标文件的澄清</w:t>
      </w:r>
      <w:bookmarkEnd w:id="116"/>
      <w:r/>
      <w:bookmarkEnd w:id="117"/>
      <w:r/>
      <w:bookmarkEnd w:id="118"/>
      <w:r/>
      <w:bookmarkEnd w:id="119"/>
      <w:r>
        <w:rPr>
          <w:rFonts w:hint="eastAsia" w:ascii="Times New Roman" w:hAnsi="Times New Roman"/>
          <w:b w:val="0"/>
          <w:bCs w:val="0"/>
          <w:highlight w:val="none"/>
        </w:rPr>
      </w:r>
      <w:r/>
    </w:p>
    <w:p>
      <w:pPr>
        <w:pStyle w:val="664"/>
        <w:ind w:firstLine="480"/>
        <w:spacing w:line="560" w:lineRule="exact"/>
        <w:rPr>
          <w:rFonts w:hint="eastAsia"/>
          <w:sz w:val="24"/>
          <w:szCs w:val="24"/>
          <w:highlight w:val="none"/>
        </w:rPr>
      </w:pPr>
      <w:r>
        <w:rPr>
          <w:rFonts w:hint="eastAsia"/>
          <w:bCs/>
          <w:sz w:val="24"/>
          <w:highlight w:val="none"/>
        </w:rPr>
        <w:t xml:space="preserve">7.1</w:t>
      </w:r>
      <w:r>
        <w:rPr>
          <w:rFonts w:hint="eastAsia"/>
          <w:sz w:val="24"/>
          <w:highlight w:val="none"/>
        </w:rPr>
        <w:t xml:space="preserve"> 任何要求对招标文件进行澄清的投标人，应在投标截止期</w:t>
      </w:r>
      <w:r>
        <w:rPr>
          <w:rFonts w:hint="eastAsia"/>
          <w:b/>
          <w:sz w:val="24"/>
          <w:szCs w:val="24"/>
          <w:highlight w:val="none"/>
        </w:rPr>
        <w:t xml:space="preserve">十日</w:t>
      </w:r>
      <w:r>
        <w:rPr>
          <w:rFonts w:hint="eastAsia"/>
          <w:sz w:val="24"/>
          <w:szCs w:val="24"/>
          <w:highlight w:val="none"/>
        </w:rPr>
        <w:t xml:space="preserve">前</w:t>
      </w:r>
      <w:r>
        <w:rPr>
          <w:rFonts w:hint="eastAsia"/>
          <w:sz w:val="24"/>
          <w:highlight w:val="none"/>
        </w:rPr>
        <w:t xml:space="preserve">按招标公告中的通讯地址，以书面形式通知采购代理机构。</w:t>
      </w:r>
      <w:r>
        <w:rPr>
          <w:rFonts w:hint="eastAsia"/>
          <w:sz w:val="24"/>
          <w:szCs w:val="24"/>
          <w:highlight w:val="none"/>
        </w:rPr>
      </w:r>
      <w:r/>
    </w:p>
    <w:p>
      <w:pPr>
        <w:pStyle w:val="668"/>
        <w:ind w:firstLine="560"/>
        <w:spacing w:before="0" w:after="0" w:line="560" w:lineRule="exact"/>
        <w:rPr>
          <w:rFonts w:hint="eastAsia" w:ascii="Times New Roman" w:hAnsi="Times New Roman"/>
          <w:b w:val="0"/>
          <w:bCs w:val="0"/>
          <w:highlight w:val="none"/>
        </w:rPr>
      </w:pPr>
      <w:r/>
      <w:bookmarkStart w:id="120" w:name="_Toc513029212"/>
      <w:r/>
      <w:bookmarkStart w:id="121" w:name="_Toc16938528"/>
      <w:r/>
      <w:bookmarkStart w:id="122" w:name="_Toc20823284"/>
      <w:r/>
      <w:bookmarkStart w:id="123" w:name="_Toc462564071"/>
      <w:r>
        <w:rPr>
          <w:rFonts w:hint="eastAsia" w:ascii="Times New Roman" w:hAnsi="Times New Roman"/>
          <w:b w:val="0"/>
          <w:bCs w:val="0"/>
          <w:highlight w:val="none"/>
        </w:rPr>
        <w:t xml:space="preserve">8、招标文件的修改</w:t>
      </w:r>
      <w:bookmarkEnd w:id="120"/>
      <w:r/>
      <w:bookmarkEnd w:id="121"/>
      <w:r/>
      <w:bookmarkEnd w:id="122"/>
      <w:r/>
      <w:bookmarkEnd w:id="123"/>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rPr>
          <w:rFonts w:hint="eastAsia"/>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8.2 在投标截止时间前，采购代理机构可以对招标文件进行修改。</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8.3 采购代理机构有权按照法定的要求推迟投标截止日期和开标日期。</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highlight w:val="none"/>
        </w:rPr>
      </w:r>
      <w:r/>
    </w:p>
    <w:p>
      <w:pPr>
        <w:pStyle w:val="667"/>
        <w:ind w:firstLine="482"/>
        <w:spacing w:before="0" w:after="0" w:line="560" w:lineRule="exact"/>
        <w:rPr>
          <w:rFonts w:hint="eastAsia"/>
          <w:highlight w:val="none"/>
        </w:rPr>
      </w:pPr>
      <w:r/>
      <w:bookmarkStart w:id="124" w:name="_Toc462564072"/>
      <w:r/>
      <w:bookmarkStart w:id="125" w:name="_Toc513029213"/>
      <w:r/>
      <w:bookmarkStart w:id="126" w:name="_Toc120614216"/>
      <w:r/>
      <w:bookmarkStart w:id="127" w:name="_Toc8062"/>
      <w:r/>
      <w:bookmarkStart w:id="128" w:name="_Toc20823285"/>
      <w:r/>
      <w:bookmarkStart w:id="129" w:name="_Toc23696"/>
      <w:r/>
      <w:bookmarkStart w:id="130" w:name="_Toc3206"/>
      <w:r/>
      <w:bookmarkStart w:id="131" w:name="_Toc16938529"/>
      <w:r>
        <w:rPr>
          <w:rFonts w:hint="eastAsia"/>
          <w:highlight w:val="none"/>
        </w:rPr>
        <w:t xml:space="preserve">三、投标文件的编制</w:t>
      </w:r>
      <w:bookmarkEnd w:id="124"/>
      <w:r/>
      <w:bookmarkEnd w:id="125"/>
      <w:r/>
      <w:bookmarkEnd w:id="126"/>
      <w:r/>
      <w:bookmarkEnd w:id="127"/>
      <w:r/>
      <w:bookmarkEnd w:id="128"/>
      <w:r/>
      <w:bookmarkEnd w:id="129"/>
      <w:r/>
      <w:bookmarkEnd w:id="130"/>
      <w:r/>
      <w:bookmarkEnd w:id="131"/>
      <w:r>
        <w:rPr>
          <w:rFonts w:hint="eastAsia"/>
          <w:highlight w:val="none"/>
        </w:rPr>
      </w:r>
      <w:r/>
    </w:p>
    <w:p>
      <w:pPr>
        <w:pStyle w:val="668"/>
        <w:ind w:firstLine="560"/>
        <w:spacing w:before="0" w:after="0" w:line="560" w:lineRule="exact"/>
        <w:rPr>
          <w:rFonts w:hint="eastAsia" w:ascii="Times New Roman" w:hAnsi="Times New Roman"/>
          <w:bCs w:val="0"/>
          <w:highlight w:val="none"/>
        </w:rPr>
      </w:pPr>
      <w:r/>
      <w:bookmarkStart w:id="132" w:name="_Toc513029214"/>
      <w:r/>
      <w:bookmarkStart w:id="133" w:name="_Toc20823286"/>
      <w:r/>
      <w:bookmarkStart w:id="134" w:name="_Toc16938530"/>
      <w:r/>
      <w:bookmarkStart w:id="135" w:name="_Toc462564073"/>
      <w:r>
        <w:rPr>
          <w:rFonts w:hint="eastAsia" w:ascii="Times New Roman" w:hAnsi="Times New Roman"/>
          <w:b w:val="0"/>
          <w:bCs w:val="0"/>
          <w:highlight w:val="none"/>
        </w:rPr>
        <w:t xml:space="preserve">9、投标文件的语言及度量衡单位</w:t>
      </w:r>
      <w:bookmarkEnd w:id="132"/>
      <w:r/>
      <w:bookmarkEnd w:id="133"/>
      <w:r/>
      <w:bookmarkEnd w:id="134"/>
      <w:r/>
      <w:bookmarkEnd w:id="135"/>
      <w:r>
        <w:rPr>
          <w:rFonts w:hint="eastAsia" w:ascii="Times New Roman" w:hAnsi="Times New Roman"/>
          <w:bCs w:val="0"/>
          <w:highlight w:val="none"/>
        </w:rPr>
      </w:r>
      <w:r/>
    </w:p>
    <w:p>
      <w:pPr>
        <w:pStyle w:val="664"/>
        <w:ind w:firstLine="480"/>
        <w:spacing w:line="560" w:lineRule="exact"/>
        <w:rPr>
          <w:rFonts w:hint="eastAsia"/>
          <w:sz w:val="24"/>
          <w:highlight w:val="none"/>
        </w:rPr>
      </w:pPr>
      <w:r>
        <w:rPr>
          <w:rFonts w:hint="eastAsia"/>
          <w:bCs/>
          <w:sz w:val="24"/>
          <w:highlight w:val="none"/>
        </w:rPr>
        <w:t xml:space="preserve">9.1</w:t>
      </w:r>
      <w:r>
        <w:rPr>
          <w:rFonts w:hint="eastAsia"/>
          <w:sz w:val="24"/>
          <w:highlight w:val="none"/>
        </w:rPr>
        <w:t xml:space="preserve"> 投标人提交的投标文件以及投标人与采购代理机构就有关投标的所有来往通知、函件和文件均应使用</w:t>
      </w:r>
      <w:r>
        <w:rPr>
          <w:rFonts w:hint="eastAsia"/>
          <w:b/>
          <w:bCs/>
          <w:sz w:val="24"/>
          <w:highlight w:val="none"/>
        </w:rPr>
        <w:t xml:space="preserve">简体中文</w:t>
      </w:r>
      <w:r>
        <w:rPr>
          <w:rFonts w:hint="eastAsia"/>
          <w:sz w:val="24"/>
          <w:highlight w:val="none"/>
        </w:rPr>
        <w:t xml:space="preserve">。</w:t>
      </w:r>
      <w:r>
        <w:rPr>
          <w:rFonts w:hint="eastAsia"/>
          <w:sz w:val="24"/>
          <w:highlight w:val="none"/>
        </w:rPr>
      </w:r>
      <w:r/>
    </w:p>
    <w:p>
      <w:pPr>
        <w:pStyle w:val="664"/>
        <w:ind w:firstLine="480"/>
        <w:spacing w:line="560" w:lineRule="exact"/>
        <w:rPr>
          <w:rFonts w:hint="eastAsia"/>
          <w:sz w:val="24"/>
          <w:highlight w:val="none"/>
        </w:rPr>
      </w:pPr>
      <w:r>
        <w:rPr>
          <w:rFonts w:hint="eastAsia"/>
          <w:bCs/>
          <w:sz w:val="24"/>
          <w:highlight w:val="none"/>
        </w:rPr>
        <w:t xml:space="preserve">9.2</w:t>
      </w:r>
      <w:r>
        <w:rPr>
          <w:rFonts w:hint="eastAsia"/>
          <w:sz w:val="24"/>
          <w:highlight w:val="none"/>
        </w:rPr>
        <w:t xml:space="preserve"> 除技术性能另有规定外，投标文件所使用的度量衡单位，均须采用国家法定计量单位。</w:t>
      </w:r>
      <w:r>
        <w:rPr>
          <w:rFonts w:hint="eastAsia"/>
          <w:sz w:val="24"/>
          <w:highlight w:val="none"/>
        </w:rPr>
      </w:r>
      <w:r/>
    </w:p>
    <w:p>
      <w:pPr>
        <w:pStyle w:val="668"/>
        <w:ind w:firstLine="420"/>
        <w:spacing w:before="0" w:after="0" w:line="560" w:lineRule="exact"/>
        <w:rPr>
          <w:rFonts w:hint="eastAsia" w:ascii="Times New Roman" w:hAnsi="Times New Roman"/>
          <w:b w:val="0"/>
          <w:bCs w:val="0"/>
          <w:highlight w:val="none"/>
        </w:rPr>
      </w:pPr>
      <w:r/>
      <w:bookmarkStart w:id="136" w:name="_Toc20823287"/>
      <w:r/>
      <w:bookmarkStart w:id="137" w:name="_Toc462564074"/>
      <w:r/>
      <w:bookmarkStart w:id="138" w:name="_Toc16938531"/>
      <w:r/>
      <w:bookmarkStart w:id="139" w:name="_Toc513029215"/>
      <w:r>
        <w:rPr>
          <w:rFonts w:hint="eastAsia" w:ascii="Times New Roman" w:hAnsi="Times New Roman"/>
          <w:b w:val="0"/>
          <w:bCs w:val="0"/>
          <w:highlight w:val="none"/>
        </w:rPr>
        <w:t xml:space="preserve">10、投标文件构成</w:t>
      </w:r>
      <w:bookmarkEnd w:id="136"/>
      <w:r/>
      <w:bookmarkEnd w:id="137"/>
      <w:r/>
      <w:bookmarkEnd w:id="138"/>
      <w:r/>
      <w:bookmarkEnd w:id="139"/>
      <w:r>
        <w:rPr>
          <w:rFonts w:hint="eastAsia" w:ascii="Times New Roman" w:hAnsi="Times New Roman"/>
          <w:b w:val="0"/>
          <w:bCs w:val="0"/>
          <w:highlight w:val="none"/>
        </w:rPr>
      </w:r>
      <w:r/>
    </w:p>
    <w:p>
      <w:pPr>
        <w:pStyle w:val="664"/>
        <w:ind w:firstLine="480"/>
        <w:jc w:val="left"/>
        <w:spacing w:line="560" w:lineRule="exact"/>
        <w:widowControl/>
        <w:rPr>
          <w:rFonts w:hint="eastAsia"/>
          <w:bCs/>
          <w:sz w:val="24"/>
          <w:highlight w:val="none"/>
        </w:rPr>
      </w:pPr>
      <w:r>
        <w:rPr>
          <w:rFonts w:hint="eastAsia"/>
          <w:bCs/>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lang w:val="zh-CN"/>
        </w:rPr>
        <w:t xml:space="preserve">各投标人在编制投标文件时请按照招标文件第六</w:t>
      </w:r>
      <w:r>
        <w:rPr>
          <w:rFonts w:hint="eastAsia"/>
          <w:bCs/>
          <w:sz w:val="24"/>
          <w:highlight w:val="none"/>
        </w:rPr>
        <w:t xml:space="preserve">章</w:t>
      </w:r>
      <w:r>
        <w:rPr>
          <w:rFonts w:hint="eastAsia"/>
          <w:bCs/>
          <w:sz w:val="24"/>
          <w:highlight w:val="none"/>
          <w:lang w:val="zh-CN"/>
        </w:rPr>
        <w:t xml:space="preserve">规定的格式进行，混乱的编排导致投标文件被误读或评委会查找不到有效文件是投标人的风险。</w:t>
      </w:r>
      <w:r>
        <w:rPr>
          <w:rFonts w:hint="eastAsia"/>
          <w:bCs/>
          <w:sz w:val="24"/>
          <w:highlight w:val="none"/>
        </w:rPr>
      </w:r>
      <w:r/>
    </w:p>
    <w:p>
      <w:pPr>
        <w:pStyle w:val="664"/>
        <w:ind w:firstLine="480"/>
        <w:spacing w:line="560" w:lineRule="exact"/>
        <w:rPr>
          <w:rFonts w:hint="eastAsia"/>
          <w:sz w:val="24"/>
          <w:highlight w:val="none"/>
        </w:rPr>
      </w:pPr>
      <w:r>
        <w:rPr>
          <w:rFonts w:hint="eastAsia"/>
          <w:sz w:val="24"/>
          <w:highlight w:val="none"/>
        </w:rPr>
        <w:t xml:space="preserve">10.2 投标人编写的投标文件应包括资格证明文件、符合性证明文件、投标分项报价表、响应及偏离表、其他证明文件、开标一览表等部分。</w:t>
      </w:r>
      <w:r>
        <w:rPr>
          <w:rFonts w:hint="eastAsia"/>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highlight w:val="none"/>
        </w:rPr>
      </w:r>
      <w:r/>
    </w:p>
    <w:p>
      <w:pPr>
        <w:pStyle w:val="664"/>
        <w:ind w:firstLine="480"/>
        <w:spacing w:line="560" w:lineRule="exact"/>
        <w:rPr>
          <w:bCs/>
          <w:sz w:val="24"/>
          <w:highlight w:val="none"/>
        </w:rPr>
      </w:pPr>
      <w:r>
        <w:rPr>
          <w:rFonts w:hint="eastAsia"/>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10.5 如标书制作工具中格式和内容与“宿迁市政府采购网”发布的招标文件不一致，请以“宿迁市政府采购网”发布的招标文件为准。</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10.6中标后按相关要求提供与电子投标文件一致的纸质打印投标文件</w:t>
      </w:r>
      <w:r>
        <w:rPr>
          <w:bCs/>
          <w:sz w:val="24"/>
          <w:highlight w:val="none"/>
        </w:rPr>
        <w:t xml:space="preserve">4</w:t>
      </w:r>
      <w:r>
        <w:rPr>
          <w:rFonts w:hint="eastAsia"/>
          <w:bCs/>
          <w:sz w:val="24"/>
          <w:highlight w:val="none"/>
        </w:rPr>
        <w:t xml:space="preserve">份。 </w:t>
      </w:r>
      <w:r>
        <w:rPr>
          <w:rFonts w:hint="eastAsia"/>
          <w:bCs/>
          <w:sz w:val="24"/>
          <w:highlight w:val="none"/>
        </w:rPr>
      </w:r>
      <w:r/>
    </w:p>
    <w:p>
      <w:pPr>
        <w:pStyle w:val="664"/>
        <w:ind w:firstLine="480"/>
        <w:spacing w:line="560" w:lineRule="exact"/>
        <w:rPr>
          <w:bCs/>
          <w:sz w:val="24"/>
          <w:highlight w:val="none"/>
        </w:rPr>
      </w:pPr>
      <w:r/>
      <w:bookmarkStart w:id="140" w:name="EBc50e2bb832bb43068403b10c1cce6141"/>
      <w:r>
        <w:rPr>
          <w:rFonts w:hint="eastAsia"/>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40"/>
      <w:r>
        <w:rPr>
          <w:bCs/>
          <w:sz w:val="24"/>
          <w:highlight w:val="none"/>
        </w:rPr>
      </w:r>
      <w:r/>
    </w:p>
    <w:p>
      <w:pPr>
        <w:pStyle w:val="668"/>
        <w:ind w:firstLine="420"/>
        <w:spacing w:before="0" w:after="0" w:line="560" w:lineRule="exact"/>
        <w:rPr>
          <w:rFonts w:hint="eastAsia" w:ascii="Times New Roman" w:hAnsi="Times New Roman"/>
          <w:b w:val="0"/>
          <w:bCs w:val="0"/>
          <w:highlight w:val="none"/>
        </w:rPr>
      </w:pPr>
      <w:r/>
      <w:bookmarkStart w:id="141" w:name="_Hlt26954838"/>
      <w:r/>
      <w:bookmarkEnd w:id="141"/>
      <w:r/>
      <w:bookmarkStart w:id="142" w:name="_Hlt26670360"/>
      <w:r/>
      <w:bookmarkEnd w:id="142"/>
      <w:r/>
      <w:bookmarkStart w:id="143" w:name="_Hlt26668975"/>
      <w:r/>
      <w:bookmarkEnd w:id="143"/>
      <w:r/>
      <w:bookmarkStart w:id="144" w:name="_Toc513029219"/>
      <w:r/>
      <w:bookmarkStart w:id="145" w:name="_Toc14577357"/>
      <w:r/>
      <w:bookmarkStart w:id="146" w:name="_Toc49090509"/>
      <w:r/>
      <w:bookmarkStart w:id="147" w:name="_Toc14577354"/>
      <w:r/>
      <w:bookmarkStart w:id="148" w:name="_Toc49090507"/>
      <w:r/>
      <w:bookmarkStart w:id="149" w:name="_Toc513029216"/>
      <w:r>
        <w:rPr>
          <w:rFonts w:hint="eastAsia" w:ascii="Times New Roman" w:hAnsi="Times New Roman"/>
          <w:b w:val="0"/>
          <w:bCs w:val="0"/>
          <w:highlight w:val="none"/>
        </w:rPr>
        <w:t xml:space="preserve">11、证明投标人及投标标的符合招标文件规定的文件</w:t>
      </w:r>
      <w:bookmarkEnd w:id="144"/>
      <w:r/>
      <w:bookmarkEnd w:id="145"/>
      <w:r/>
      <w:bookmarkEnd w:id="146"/>
      <w:r>
        <w:rPr>
          <w:rFonts w:hint="eastAsia" w:ascii="Times New Roman" w:hAnsi="Times New Roman"/>
          <w:b w:val="0"/>
          <w:bCs w:val="0"/>
          <w:highlight w:val="none"/>
        </w:rPr>
      </w:r>
      <w:r/>
    </w:p>
    <w:p>
      <w:pPr>
        <w:pStyle w:val="664"/>
        <w:spacing w:line="560" w:lineRule="exact"/>
        <w:rPr>
          <w:rFonts w:hint="eastAsia"/>
          <w:sz w:val="24"/>
          <w:szCs w:val="24"/>
          <w:highlight w:val="none"/>
        </w:rPr>
      </w:pPr>
      <w:r/>
      <w:bookmarkEnd w:id="147"/>
      <w:r/>
      <w:bookmarkEnd w:id="148"/>
      <w:r/>
      <w:bookmarkEnd w:id="149"/>
      <w:r/>
      <w:bookmarkStart w:id="150" w:name="_Toc14577355"/>
      <w:r/>
      <w:bookmarkStart w:id="151" w:name="_Toc49090508"/>
      <w:r>
        <w:rPr>
          <w:rFonts w:hint="eastAsia"/>
          <w:sz w:val="24"/>
          <w:szCs w:val="24"/>
          <w:highlight w:val="none"/>
        </w:rPr>
        <w:t xml:space="preserve">    11.1 投标人应按照法律、法规、规章和规范性文件以及招标文件要求提交证明文件，证明其及投标标的符合招标文件规定。</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11.2招标文件对证明文件无明确形式要求的，证明文件可以以文字资料、图纸和数据等形式提交。</w:t>
      </w:r>
      <w:r>
        <w:rPr>
          <w:rFonts w:hint="eastAsia"/>
          <w:sz w:val="24"/>
          <w:szCs w:val="24"/>
          <w:highlight w:val="none"/>
        </w:rPr>
      </w:r>
      <w:r/>
    </w:p>
    <w:p>
      <w:pPr>
        <w:pStyle w:val="668"/>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12、投标分项报价</w:t>
      </w:r>
      <w:bookmarkEnd w:id="150"/>
      <w:r/>
      <w:bookmarkStart w:id="152" w:name="_Hlt26670373"/>
      <w:r/>
      <w:bookmarkEnd w:id="152"/>
      <w:r>
        <w:rPr>
          <w:rFonts w:hint="eastAsia" w:ascii="Times New Roman" w:hAnsi="Times New Roman"/>
          <w:b w:val="0"/>
          <w:bCs w:val="0"/>
          <w:highlight w:val="none"/>
        </w:rPr>
        <w:t xml:space="preserve">表</w:t>
      </w:r>
      <w:bookmarkEnd w:id="151"/>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rPr>
          <w:rFonts w:hint="eastAsia"/>
          <w:bCs/>
          <w:sz w:val="24"/>
          <w:highlight w:val="none"/>
        </w:rPr>
        <w:t xml:space="preserve">12.1</w:t>
      </w:r>
      <w:r>
        <w:rPr>
          <w:rFonts w:hint="eastAsia"/>
          <w:sz w:val="24"/>
          <w:highlight w:val="none"/>
        </w:rPr>
        <w:t xml:space="preserve"> 投</w:t>
      </w:r>
      <w:bookmarkStart w:id="153" w:name="_Hlt26954840"/>
      <w:r/>
      <w:bookmarkEnd w:id="153"/>
      <w:r>
        <w:rPr>
          <w:rFonts w:hint="eastAsia"/>
          <w:sz w:val="24"/>
          <w:highlight w:val="none"/>
        </w:rPr>
        <w:t xml:space="preserve">标人应按照招标文件规定格式填报投标分项报价表</w:t>
      </w:r>
      <w:bookmarkStart w:id="154" w:name="_Hlt26670399"/>
      <w:r/>
      <w:bookmarkEnd w:id="154"/>
      <w:r>
        <w:rPr>
          <w:rFonts w:hint="eastAsia"/>
          <w:sz w:val="24"/>
          <w:highlight w:val="none"/>
        </w:rPr>
        <w:t xml:space="preserve">。</w:t>
      </w:r>
      <w:r>
        <w:rPr>
          <w:rFonts w:hint="eastAsia"/>
          <w:bCs/>
          <w:sz w:val="24"/>
          <w:highlight w:val="none"/>
        </w:rPr>
      </w:r>
      <w:r/>
    </w:p>
    <w:p>
      <w:pPr>
        <w:pStyle w:val="664"/>
        <w:ind w:firstLine="480"/>
        <w:spacing w:line="560" w:lineRule="exact"/>
        <w:rPr>
          <w:rFonts w:hint="eastAsia"/>
          <w:sz w:val="24"/>
          <w:highlight w:val="none"/>
        </w:rPr>
      </w:pPr>
      <w:r>
        <w:rPr>
          <w:rFonts w:hint="eastAsia"/>
          <w:sz w:val="24"/>
          <w:highlight w:val="none"/>
        </w:rPr>
        <w:t xml:space="preserve">12.2</w:t>
      </w:r>
      <w:r>
        <w:rPr>
          <w:rFonts w:hint="eastAsia"/>
          <w:bCs/>
          <w:sz w:val="24"/>
          <w:highlight w:val="none"/>
        </w:rPr>
        <w:t xml:space="preserve">投标货币。投标文件中的单价和总价无特殊规定的采用人民币报价，以元为单位标注。</w:t>
      </w:r>
      <w:r>
        <w:rPr>
          <w:rFonts w:hint="eastAsia"/>
          <w:sz w:val="24"/>
          <w:highlight w:val="none"/>
        </w:rPr>
        <w:t xml:space="preserve">招标文件中另有规定的按规定执行。</w:t>
      </w:r>
      <w:r>
        <w:rPr>
          <w:rFonts w:hint="eastAsia"/>
          <w:sz w:val="24"/>
          <w:highlight w:val="none"/>
        </w:rPr>
      </w:r>
      <w:r/>
    </w:p>
    <w:p>
      <w:pPr>
        <w:pStyle w:val="664"/>
        <w:ind w:firstLine="480"/>
        <w:spacing w:line="560" w:lineRule="exact"/>
        <w:rPr>
          <w:bCs/>
          <w:sz w:val="24"/>
          <w:highlight w:val="none"/>
        </w:rPr>
      </w:pPr>
      <w:r>
        <w:rPr>
          <w:rFonts w:hint="eastAsia"/>
          <w:bCs/>
          <w:sz w:val="24"/>
          <w:highlight w:val="none"/>
        </w:rPr>
        <w:t xml:space="preserve">12.3本项目不接受备选的投标方案或有选择的报价，只允许有一个报价。投标报价内容包括：货物本身、人工费、服务费、税金以及交付使用过程中涉及到的其他一切费用。</w:t>
      </w:r>
      <w:r>
        <w:rPr>
          <w:bCs/>
          <w:sz w:val="24"/>
          <w:highlight w:val="none"/>
        </w:rPr>
      </w:r>
      <w:r/>
    </w:p>
    <w:p>
      <w:pPr>
        <w:pStyle w:val="668"/>
        <w:ind w:firstLine="420"/>
        <w:spacing w:before="0" w:after="0" w:line="560" w:lineRule="exact"/>
        <w:rPr>
          <w:rFonts w:hint="eastAsia"/>
          <w:b w:val="0"/>
          <w:bCs w:val="0"/>
          <w:highlight w:val="none"/>
        </w:rPr>
      </w:pPr>
      <w:r/>
      <w:bookmarkStart w:id="155" w:name="_Hlt26954846"/>
      <w:r/>
      <w:bookmarkEnd w:id="155"/>
      <w:r/>
      <w:bookmarkStart w:id="156" w:name="_Hlt26954844"/>
      <w:r/>
      <w:bookmarkEnd w:id="156"/>
      <w:r/>
      <w:bookmarkStart w:id="157" w:name="_Hlt26670486"/>
      <w:r/>
      <w:bookmarkEnd w:id="157"/>
      <w:r/>
      <w:bookmarkStart w:id="158" w:name="_Hlt26670425"/>
      <w:r/>
      <w:bookmarkEnd w:id="158"/>
      <w:r/>
      <w:bookmarkStart w:id="159" w:name="_Hlt26954842"/>
      <w:r/>
      <w:bookmarkEnd w:id="159"/>
      <w:r/>
      <w:bookmarkStart w:id="160" w:name="_Hlt26670403"/>
      <w:r/>
      <w:bookmarkEnd w:id="160"/>
      <w:r/>
      <w:bookmarkStart w:id="161" w:name="_Hlt26670482"/>
      <w:r/>
      <w:bookmarkEnd w:id="161"/>
      <w:r/>
      <w:bookmarkStart w:id="162" w:name="_Hlt26954848"/>
      <w:r/>
      <w:bookmarkEnd w:id="162"/>
      <w:r/>
      <w:bookmarkStart w:id="163" w:name="_Hlt26954731"/>
      <w:r/>
      <w:bookmarkEnd w:id="163"/>
      <w:r/>
      <w:bookmarkStart w:id="164" w:name="_Hlt26668983"/>
      <w:r/>
      <w:bookmarkEnd w:id="164"/>
      <w:r/>
      <w:bookmarkStart w:id="165" w:name="_Toc49090510"/>
      <w:r/>
      <w:bookmarkStart w:id="166" w:name="_Toc14577359"/>
      <w:r>
        <w:rPr>
          <w:rFonts w:hint="eastAsia"/>
          <w:b w:val="0"/>
          <w:bCs w:val="0"/>
          <w:highlight w:val="none"/>
        </w:rPr>
        <w:t xml:space="preserve">13、技术要求响应及偏离表、商务要求响应及偏离表</w:t>
      </w:r>
      <w:r>
        <w:rPr>
          <w:rFonts w:hint="eastAsia"/>
          <w:b w:val="0"/>
          <w:bCs w:val="0"/>
          <w:highlight w:val="none"/>
        </w:rPr>
      </w:r>
      <w:r/>
    </w:p>
    <w:p>
      <w:pPr>
        <w:pStyle w:val="664"/>
        <w:ind w:firstLine="480"/>
        <w:spacing w:line="560" w:lineRule="exact"/>
        <w:rPr>
          <w:rFonts w:hint="eastAsia" w:ascii="宋体" w:hAnsi="Arial" w:cs="宋体"/>
          <w:bCs/>
          <w:sz w:val="24"/>
          <w:highlight w:val="none"/>
          <w:lang w:val="zh-CN"/>
        </w:rPr>
      </w:pPr>
      <w:r>
        <w:rPr>
          <w:rFonts w:hint="eastAsia" w:ascii="宋体" w:hAnsi="Arial" w:cs="宋体"/>
          <w:bCs/>
          <w:sz w:val="24"/>
          <w:highlight w:val="none"/>
          <w:lang w:val="zh-CN"/>
        </w:rPr>
        <w:t xml:space="preserve">13.1 投标人需对招标文件中的技术要求与商务要求逐项作出响应或偏离，并说明原因。</w:t>
      </w:r>
      <w:r>
        <w:rPr>
          <w:rFonts w:hint="eastAsia" w:ascii="宋体" w:hAnsi="Arial" w:cs="宋体"/>
          <w:bCs/>
          <w:sz w:val="24"/>
          <w:highlight w:val="none"/>
          <w:lang w:val="zh-CN"/>
        </w:rPr>
      </w:r>
      <w:r/>
    </w:p>
    <w:p>
      <w:pPr>
        <w:pStyle w:val="664"/>
        <w:ind w:firstLine="480"/>
        <w:spacing w:line="560" w:lineRule="exact"/>
        <w:rPr>
          <w:rFonts w:hint="eastAsia" w:ascii="宋体" w:hAnsi="Arial" w:cs="宋体"/>
          <w:sz w:val="24"/>
          <w:highlight w:val="none"/>
          <w:lang w:val="zh-CN"/>
        </w:rPr>
      </w:pPr>
      <w:r>
        <w:rPr>
          <w:rFonts w:hint="eastAsia" w:ascii="宋体" w:hAnsi="Arial" w:cs="宋体"/>
          <w:bCs/>
          <w:sz w:val="24"/>
          <w:highlight w:val="none"/>
          <w:lang w:val="zh-CN"/>
        </w:rPr>
        <w:t xml:space="preserve">13.2 投标人可在投标文件中提供认为需要的其他技术文件或说明。</w:t>
      </w:r>
      <w:r>
        <w:rPr>
          <w:rFonts w:hint="eastAsia" w:ascii="宋体" w:hAnsi="Arial" w:cs="宋体"/>
          <w:sz w:val="24"/>
          <w:highlight w:val="none"/>
          <w:lang w:val="zh-CN"/>
        </w:rPr>
      </w:r>
      <w:r/>
    </w:p>
    <w:p>
      <w:pPr>
        <w:pStyle w:val="664"/>
        <w:ind w:firstLine="420"/>
        <w:keepLines/>
        <w:keepNext/>
        <w:spacing w:line="560" w:lineRule="exact"/>
        <w:rPr>
          <w:rFonts w:eastAsia="黑体" w:cs="Arial"/>
          <w:sz w:val="28"/>
          <w:szCs w:val="28"/>
          <w:highlight w:val="none"/>
        </w:rPr>
        <w:outlineLvl w:val="3"/>
      </w:pPr>
      <w:r>
        <w:rPr>
          <w:rFonts w:hint="eastAsia" w:eastAsia="黑体" w:cs="Arial"/>
          <w:sz w:val="28"/>
          <w:szCs w:val="28"/>
          <w:highlight w:val="none"/>
        </w:rPr>
        <w:t xml:space="preserve">14、服务承诺、培训计划、人员安排及其他</w:t>
      </w:r>
      <w:r>
        <w:rPr>
          <w:rFonts w:eastAsia="黑体" w:cs="Arial"/>
          <w:sz w:val="28"/>
          <w:szCs w:val="28"/>
          <w:highlight w:val="none"/>
        </w:rPr>
      </w:r>
      <w:r/>
    </w:p>
    <w:p>
      <w:pPr>
        <w:pStyle w:val="664"/>
        <w:ind w:firstLine="480"/>
        <w:spacing w:line="560" w:lineRule="exact"/>
        <w:rPr>
          <w:sz w:val="24"/>
          <w:szCs w:val="24"/>
          <w:highlight w:val="none"/>
        </w:rPr>
      </w:pPr>
      <w:r>
        <w:rPr>
          <w:rFonts w:hint="eastAsia"/>
          <w:bCs/>
          <w:sz w:val="24"/>
          <w:szCs w:val="24"/>
          <w:highlight w:val="none"/>
        </w:rPr>
        <w:t xml:space="preserve">14.1 </w:t>
      </w:r>
      <w:r>
        <w:rPr>
          <w:rFonts w:hint="eastAsia"/>
          <w:sz w:val="24"/>
          <w:szCs w:val="24"/>
          <w:highlight w:val="none"/>
        </w:rPr>
        <w:t xml:space="preserve">投标人需根据招标文件要求提供有关售后服务的管理制度，售后服务机构的分布情况，售后服务人员的数量、素质、技术水平及售后服务的反应能力等。</w:t>
      </w:r>
      <w:r>
        <w:rPr>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14.2 投标人需根据招标文件要求提供培训计划。</w:t>
      </w:r>
      <w:r>
        <w:rPr>
          <w:sz w:val="24"/>
          <w:szCs w:val="24"/>
          <w:highlight w:val="none"/>
        </w:rPr>
      </w:r>
      <w:r/>
    </w:p>
    <w:p>
      <w:pPr>
        <w:pStyle w:val="664"/>
        <w:ind w:firstLine="480"/>
        <w:spacing w:line="560" w:lineRule="exact"/>
        <w:rPr>
          <w:rFonts w:hint="eastAsia"/>
          <w:b/>
          <w:bCs/>
          <w:highlight w:val="none"/>
        </w:rPr>
      </w:pPr>
      <w:r>
        <w:rPr>
          <w:rFonts w:hint="eastAsia"/>
          <w:sz w:val="24"/>
          <w:szCs w:val="24"/>
          <w:highlight w:val="none"/>
        </w:rPr>
        <w:t xml:space="preserve">14.3 投标人需根据招标文件要求提供</w:t>
      </w:r>
      <w:r>
        <w:rPr>
          <w:rFonts w:hint="eastAsia" w:cs="宋体"/>
          <w:sz w:val="24"/>
          <w:highlight w:val="none"/>
          <w:lang w:val="zh-CN"/>
        </w:rPr>
        <w:t xml:space="preserve">所投标的的主要组成部分、功能设计、实现思路及关键技术等。</w:t>
      </w:r>
      <w:r>
        <w:rPr>
          <w:rFonts w:hint="eastAsia"/>
          <w:b/>
          <w:bCs/>
          <w:highlight w:val="none"/>
        </w:rPr>
      </w:r>
      <w:r/>
    </w:p>
    <w:p>
      <w:pPr>
        <w:pStyle w:val="668"/>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15、投标声明及承诺函和开标一览表</w:t>
      </w:r>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bCs/>
          <w:sz w:val="24"/>
          <w:highlight w:val="none"/>
        </w:rPr>
        <w:t xml:space="preserve">15.1</w:t>
      </w:r>
      <w:r>
        <w:rPr>
          <w:rFonts w:hint="eastAsia"/>
          <w:sz w:val="24"/>
          <w:highlight w:val="none"/>
        </w:rPr>
        <w:t xml:space="preserve"> 投标人应按照招标文件中提供的格式完整、正确填写投标声明及承诺函、开标一览表。</w:t>
      </w:r>
      <w:r>
        <w:rPr>
          <w:rFonts w:hint="eastAsia"/>
          <w:sz w:val="24"/>
          <w:highlight w:val="none"/>
        </w:rPr>
      </w:r>
      <w:r/>
    </w:p>
    <w:p>
      <w:pPr>
        <w:pStyle w:val="664"/>
        <w:ind w:firstLine="480"/>
        <w:spacing w:line="560" w:lineRule="exact"/>
        <w:rPr>
          <w:rFonts w:hint="eastAsia"/>
          <w:sz w:val="24"/>
          <w:highlight w:val="none"/>
        </w:rPr>
      </w:pPr>
      <w:r>
        <w:rPr>
          <w:rFonts w:hint="eastAsia"/>
          <w:bCs/>
          <w:sz w:val="24"/>
          <w:highlight w:val="none"/>
        </w:rPr>
        <w:t xml:space="preserve">15.2</w:t>
      </w:r>
      <w:r>
        <w:rPr>
          <w:rFonts w:hint="eastAsia"/>
          <w:sz w:val="24"/>
          <w:highlight w:val="none"/>
        </w:rPr>
        <w:t xml:space="preserve"> 对于采用货币报价的项目，</w:t>
      </w:r>
      <w:r>
        <w:rPr>
          <w:rFonts w:hint="eastAsia"/>
          <w:bCs/>
          <w:sz w:val="24"/>
          <w:highlight w:val="none"/>
        </w:rPr>
        <w:t xml:space="preserve">开标一览表中的投标总报价应与投标分项报价表中的投标总报价一致，如不一致，</w:t>
      </w:r>
      <w:r>
        <w:rPr>
          <w:rFonts w:hint="eastAsia"/>
          <w:sz w:val="24"/>
          <w:szCs w:val="24"/>
          <w:highlight w:val="none"/>
        </w:rPr>
        <w:t xml:space="preserve">不作为无效投标处理</w:t>
      </w:r>
      <w:r>
        <w:rPr>
          <w:rFonts w:hint="eastAsia"/>
          <w:bCs/>
          <w:sz w:val="24"/>
          <w:highlight w:val="none"/>
        </w:rPr>
        <w:t xml:space="preserve">，但评标时按开标一览表中价格为准</w:t>
      </w:r>
      <w:r>
        <w:rPr>
          <w:rFonts w:hint="eastAsia"/>
          <w:b/>
          <w:bCs/>
          <w:sz w:val="24"/>
          <w:highlight w:val="none"/>
        </w:rPr>
        <w:t xml:space="preserve">。</w:t>
      </w:r>
      <w:r>
        <w:rPr>
          <w:rFonts w:hint="eastAsia"/>
          <w:sz w:val="24"/>
          <w:highlight w:val="none"/>
        </w:rPr>
      </w:r>
      <w:r/>
    </w:p>
    <w:p>
      <w:pPr>
        <w:pStyle w:val="668"/>
        <w:ind w:firstLine="420"/>
        <w:spacing w:before="0" w:after="0" w:line="560" w:lineRule="exact"/>
        <w:rPr>
          <w:rFonts w:hint="eastAsia" w:ascii="Times New Roman" w:hAnsi="Times New Roman"/>
          <w:b w:val="0"/>
          <w:bCs w:val="0"/>
          <w:highlight w:val="none"/>
        </w:rPr>
      </w:pPr>
      <w:r/>
      <w:bookmarkEnd w:id="165"/>
      <w:r/>
      <w:bookmarkEnd w:id="166"/>
      <w:r/>
      <w:bookmarkStart w:id="167" w:name="_Hlt26670489"/>
      <w:r/>
      <w:bookmarkEnd w:id="167"/>
      <w:r/>
      <w:bookmarkStart w:id="168" w:name="_Hlt26954734"/>
      <w:r/>
      <w:bookmarkEnd w:id="168"/>
      <w:r/>
      <w:bookmarkStart w:id="169" w:name="_Hlt26954850"/>
      <w:r/>
      <w:bookmarkEnd w:id="169"/>
      <w:r/>
      <w:bookmarkStart w:id="170" w:name="_Toc14577360"/>
      <w:r/>
      <w:bookmarkStart w:id="171" w:name="_Toc49090511"/>
      <w:r>
        <w:rPr>
          <w:rFonts w:hint="eastAsia" w:ascii="Times New Roman" w:hAnsi="Times New Roman"/>
          <w:b w:val="0"/>
          <w:bCs w:val="0"/>
          <w:highlight w:val="none"/>
        </w:rPr>
        <w:t xml:space="preserve">16、投标有效期</w:t>
      </w:r>
      <w:bookmarkEnd w:id="170"/>
      <w:r/>
      <w:bookmarkEnd w:id="171"/>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rPr>
          <w:rFonts w:hint="eastAsia"/>
          <w:sz w:val="24"/>
          <w:highlight w:val="none"/>
        </w:rPr>
        <w:t xml:space="preserve">16.1</w:t>
      </w:r>
      <w:r>
        <w:rPr>
          <w:rFonts w:hint="eastAsia"/>
          <w:bCs/>
          <w:sz w:val="24"/>
          <w:highlight w:val="none"/>
        </w:rPr>
        <w:t xml:space="preserve"> 投标有效期为开标之日后</w:t>
      </w:r>
      <w:r>
        <w:rPr>
          <w:rFonts w:hint="eastAsia"/>
          <w:b/>
          <w:sz w:val="24"/>
          <w:highlight w:val="none"/>
          <w:u w:val="single"/>
        </w:rPr>
        <w:t xml:space="preserve">六十（60）天</w:t>
      </w:r>
      <w:r>
        <w:rPr>
          <w:rFonts w:hint="eastAsia"/>
          <w:bCs/>
          <w:sz w:val="24"/>
          <w:highlight w:val="none"/>
        </w:rPr>
        <w:t xml:space="preserve">。投标有效期比规定短的将被视为未实质性响应招标</w:t>
      </w:r>
      <w:r>
        <w:rPr>
          <w:bCs/>
          <w:sz w:val="24"/>
          <w:highlight w:val="none"/>
        </w:rPr>
        <w:t xml:space="preserve">文件</w:t>
      </w:r>
      <w:r>
        <w:rPr>
          <w:rFonts w:hint="eastAsia"/>
          <w:bCs/>
          <w:sz w:val="24"/>
          <w:highlight w:val="none"/>
        </w:rPr>
        <w:t xml:space="preserve">而予以拒绝。</w:t>
      </w:r>
      <w:r>
        <w:rPr>
          <w:rFonts w:hint="eastAsia"/>
          <w:bCs/>
          <w:sz w:val="24"/>
          <w:highlight w:val="none"/>
        </w:rPr>
      </w:r>
      <w:r/>
    </w:p>
    <w:p>
      <w:pPr>
        <w:pStyle w:val="668"/>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17、投标有效期的延长</w:t>
      </w:r>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rPr>
          <w:rFonts w:hint="eastAsia"/>
          <w:sz w:val="24"/>
          <w:highlight w:val="none"/>
        </w:rPr>
        <w:t xml:space="preserve">17.1</w:t>
      </w:r>
      <w:r>
        <w:rPr>
          <w:rFonts w:hint="eastAsia"/>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highlight w:val="none"/>
        </w:rPr>
        <w:t xml:space="preserve">。</w:t>
      </w:r>
      <w:r>
        <w:rPr>
          <w:rFonts w:hint="eastAsia"/>
          <w:bCs/>
          <w:sz w:val="24"/>
          <w:highlight w:val="none"/>
        </w:rPr>
        <w:t xml:space="preserve">同意延长投标有效期的投标人既不能要求也不允许修改其投标文件</w:t>
      </w:r>
      <w:r>
        <w:rPr>
          <w:rFonts w:hint="eastAsia"/>
          <w:sz w:val="24"/>
          <w:szCs w:val="24"/>
          <w:highlight w:val="none"/>
        </w:rPr>
        <w:t xml:space="preserve">，同时受投标有效期约束的所有权利与义务均延长至新的有效期</w:t>
      </w:r>
      <w:r>
        <w:rPr>
          <w:rFonts w:hint="eastAsia"/>
          <w:bCs/>
          <w:sz w:val="24"/>
          <w:highlight w:val="none"/>
        </w:rPr>
        <w:t xml:space="preserve">。</w:t>
      </w:r>
      <w:r>
        <w:rPr>
          <w:rFonts w:hint="eastAsia"/>
          <w:bCs/>
          <w:sz w:val="24"/>
          <w:highlight w:val="none"/>
        </w:rPr>
      </w:r>
      <w:r/>
    </w:p>
    <w:p>
      <w:pPr>
        <w:pStyle w:val="664"/>
        <w:ind w:firstLine="480"/>
        <w:spacing w:line="560" w:lineRule="exact"/>
        <w:rPr>
          <w:rFonts w:hint="eastAsia"/>
          <w:sz w:val="24"/>
          <w:highlight w:val="none"/>
        </w:rPr>
      </w:pPr>
      <w:r>
        <w:rPr>
          <w:rFonts w:hint="eastAsia"/>
          <w:sz w:val="24"/>
          <w:highlight w:val="none"/>
        </w:rPr>
        <w:t xml:space="preserve">17.2中标人的投标文件作为项目合同的附件，其有效期至中标人全部合同义务履行完毕为止。 </w:t>
      </w:r>
      <w:r>
        <w:rPr>
          <w:rFonts w:hint="eastAsia"/>
          <w:sz w:val="24"/>
          <w:highlight w:val="none"/>
        </w:rPr>
      </w:r>
      <w:r/>
    </w:p>
    <w:p>
      <w:pPr>
        <w:pStyle w:val="667"/>
        <w:ind w:firstLine="482"/>
        <w:spacing w:before="0" w:after="0" w:line="560" w:lineRule="exact"/>
        <w:rPr>
          <w:rFonts w:hint="eastAsia"/>
          <w:highlight w:val="none"/>
        </w:rPr>
      </w:pPr>
      <w:r/>
      <w:bookmarkStart w:id="172" w:name="_Hlt26954852"/>
      <w:r/>
      <w:bookmarkEnd w:id="172"/>
      <w:r/>
      <w:bookmarkStart w:id="173" w:name="_Hlt26954739"/>
      <w:r/>
      <w:bookmarkEnd w:id="173"/>
      <w:r/>
      <w:bookmarkStart w:id="174" w:name="_Toc20823296"/>
      <w:r/>
      <w:bookmarkStart w:id="175" w:name="_Toc31276"/>
      <w:r/>
      <w:bookmarkStart w:id="176" w:name="_Toc513029224"/>
      <w:r/>
      <w:bookmarkStart w:id="177" w:name="_Toc16938540"/>
      <w:r/>
      <w:bookmarkStart w:id="178" w:name="_Toc120614217"/>
      <w:r/>
      <w:bookmarkStart w:id="179" w:name="_Toc25493"/>
      <w:r/>
      <w:bookmarkStart w:id="180" w:name="_Toc30397"/>
      <w:r>
        <w:rPr>
          <w:rFonts w:hint="eastAsia"/>
          <w:highlight w:val="none"/>
        </w:rPr>
        <w:t xml:space="preserve">四、投标文件的递交</w:t>
      </w:r>
      <w:bookmarkEnd w:id="174"/>
      <w:r/>
      <w:bookmarkEnd w:id="175"/>
      <w:r/>
      <w:bookmarkEnd w:id="176"/>
      <w:r/>
      <w:bookmarkEnd w:id="177"/>
      <w:r/>
      <w:bookmarkEnd w:id="178"/>
      <w:r/>
      <w:bookmarkEnd w:id="179"/>
      <w:r/>
      <w:bookmarkEnd w:id="180"/>
      <w:r>
        <w:rPr>
          <w:rFonts w:hint="eastAsia"/>
          <w:highlight w:val="none"/>
        </w:rPr>
      </w:r>
      <w:r/>
    </w:p>
    <w:p>
      <w:pPr>
        <w:pStyle w:val="668"/>
        <w:ind w:firstLine="560"/>
        <w:spacing w:before="0" w:after="0" w:line="560" w:lineRule="exact"/>
        <w:rPr>
          <w:rFonts w:hint="eastAsia" w:ascii="Times New Roman" w:hAnsi="Times New Roman"/>
          <w:b w:val="0"/>
          <w:bCs w:val="0"/>
          <w:highlight w:val="none"/>
        </w:rPr>
      </w:pPr>
      <w:r/>
      <w:bookmarkStart w:id="181" w:name="_Toc462564084"/>
      <w:r/>
      <w:bookmarkStart w:id="182" w:name="_Toc20823297"/>
      <w:r/>
      <w:bookmarkStart w:id="183" w:name="_Toc16938541"/>
      <w:r/>
      <w:bookmarkStart w:id="184" w:name="_Toc513029225"/>
      <w:r>
        <w:rPr>
          <w:rFonts w:hint="eastAsia" w:ascii="Times New Roman" w:hAnsi="Times New Roman"/>
          <w:b w:val="0"/>
          <w:bCs w:val="0"/>
          <w:highlight w:val="none"/>
        </w:rPr>
        <w:t xml:space="preserve">18、投标文件</w:t>
      </w:r>
      <w:bookmarkEnd w:id="181"/>
      <w:r/>
      <w:bookmarkEnd w:id="182"/>
      <w:r/>
      <w:bookmarkEnd w:id="183"/>
      <w:r/>
      <w:bookmarkEnd w:id="184"/>
      <w:r>
        <w:rPr>
          <w:rFonts w:hint="eastAsia" w:ascii="Times New Roman" w:hAnsi="Times New Roman"/>
          <w:b w:val="0"/>
          <w:bCs w:val="0"/>
          <w:highlight w:val="none"/>
        </w:rPr>
        <w:t xml:space="preserve">的递交</w:t>
      </w:r>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sz w:val="24"/>
          <w:highlight w:val="none"/>
        </w:rPr>
        <w:t xml:space="preserve">18.1投标人应当按照《操作手册》规定，在投标截止时间前制作并上传电子投标文件。</w:t>
      </w:r>
      <w:bookmarkStart w:id="185" w:name="_Toc16938542"/>
      <w:r/>
      <w:bookmarkStart w:id="186" w:name="_Toc20823298"/>
      <w:r/>
      <w:bookmarkStart w:id="187" w:name="_Toc513029226"/>
      <w:r>
        <w:rPr>
          <w:rFonts w:hint="eastAsia"/>
          <w:sz w:val="24"/>
          <w:highlight w:val="none"/>
        </w:rPr>
      </w:r>
      <w:r/>
    </w:p>
    <w:p>
      <w:pPr>
        <w:pStyle w:val="664"/>
        <w:ind w:firstLine="480"/>
        <w:spacing w:line="560" w:lineRule="exact"/>
        <w:rPr>
          <w:rFonts w:hint="eastAsia"/>
          <w:sz w:val="24"/>
          <w:highlight w:val="none"/>
        </w:rPr>
      </w:pPr>
      <w:r>
        <w:rPr>
          <w:rFonts w:hint="eastAsia"/>
          <w:sz w:val="24"/>
          <w:highlight w:val="none"/>
        </w:rPr>
        <w:t xml:space="preserve">18.2投标人通过“苏采云”系统不见面开标大厅在线参与开标活动。（具体操作详见《“苏采云”系统投标人操作手册》，网址链接</w:t>
      </w:r>
      <w:r>
        <w:rPr>
          <w:rFonts w:hint="eastAsia"/>
          <w:sz w:val="22"/>
          <w:szCs w:val="20"/>
          <w:highlight w:val="none"/>
        </w:rPr>
        <w:t xml:space="preserve">http://www.ccgp-jiangsu.gov.cn//webfile/jiangsu/202311/1699268553318052447.pdf）</w:t>
      </w:r>
      <w:r>
        <w:rPr>
          <w:rFonts w:hint="eastAsia"/>
          <w:sz w:val="24"/>
          <w:highlight w:val="none"/>
        </w:rPr>
      </w:r>
      <w:r/>
    </w:p>
    <w:p>
      <w:pPr>
        <w:pStyle w:val="668"/>
        <w:ind w:firstLine="420"/>
        <w:spacing w:before="0" w:after="0" w:line="560" w:lineRule="exact"/>
        <w:rPr>
          <w:rFonts w:hint="eastAsia" w:ascii="Times New Roman" w:hAnsi="Times New Roman"/>
          <w:b w:val="0"/>
          <w:highlight w:val="none"/>
        </w:rPr>
      </w:pPr>
      <w:r>
        <w:rPr>
          <w:rFonts w:hint="eastAsia" w:ascii="Times New Roman" w:hAnsi="Times New Roman"/>
          <w:b w:val="0"/>
          <w:highlight w:val="none"/>
        </w:rPr>
        <w:t xml:space="preserve">19、投标截止</w:t>
      </w:r>
      <w:bookmarkEnd w:id="185"/>
      <w:r/>
      <w:bookmarkEnd w:id="186"/>
      <w:r/>
      <w:bookmarkEnd w:id="187"/>
      <w:r>
        <w:rPr>
          <w:rFonts w:hint="eastAsia" w:ascii="Times New Roman" w:hAnsi="Times New Roman"/>
          <w:b w:val="0"/>
          <w:highlight w:val="none"/>
        </w:rPr>
        <w:t xml:space="preserve">时间</w:t>
      </w:r>
      <w:r>
        <w:rPr>
          <w:rFonts w:hint="eastAsia" w:ascii="Times New Roman" w:hAnsi="Times New Roman"/>
          <w:b w:val="0"/>
          <w:highlight w:val="none"/>
        </w:rPr>
      </w:r>
      <w:r/>
    </w:p>
    <w:p>
      <w:pPr>
        <w:pStyle w:val="664"/>
        <w:ind w:firstLine="480"/>
        <w:spacing w:line="560" w:lineRule="exact"/>
        <w:rPr>
          <w:rFonts w:hint="eastAsia"/>
          <w:iCs/>
          <w:sz w:val="24"/>
          <w:highlight w:val="none"/>
        </w:rPr>
      </w:pPr>
      <w:r>
        <w:rPr>
          <w:rFonts w:hint="eastAsia"/>
          <w:iCs/>
          <w:sz w:val="24"/>
          <w:highlight w:val="none"/>
        </w:rPr>
        <w:t xml:space="preserve">19.1 投标人上传电子投标文件的时间不得迟于招标公告中规定的投标截止时间。</w:t>
      </w:r>
      <w:r>
        <w:rPr>
          <w:rFonts w:hint="eastAsia"/>
          <w:iCs/>
          <w:sz w:val="24"/>
          <w:highlight w:val="none"/>
        </w:rPr>
      </w:r>
      <w:r/>
    </w:p>
    <w:p>
      <w:pPr>
        <w:pStyle w:val="664"/>
        <w:ind w:firstLine="480"/>
        <w:spacing w:line="56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highlight w:val="none"/>
        </w:rPr>
      </w:r>
      <w:r/>
    </w:p>
    <w:p>
      <w:pPr>
        <w:pStyle w:val="664"/>
        <w:ind w:firstLine="480"/>
        <w:spacing w:line="560" w:lineRule="exact"/>
        <w:rPr>
          <w:rFonts w:hint="eastAsia"/>
          <w:bCs/>
          <w:sz w:val="24"/>
          <w:highlight w:val="none"/>
        </w:rPr>
      </w:pPr>
      <w:r>
        <w:rPr>
          <w:rFonts w:hint="eastAsia"/>
          <w:sz w:val="24"/>
          <w:highlight w:val="none"/>
        </w:rPr>
        <w:t xml:space="preserve">19.2</w:t>
      </w:r>
      <w:r>
        <w:rPr>
          <w:rFonts w:hint="eastAsia"/>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highlight w:val="none"/>
        </w:rPr>
      </w:r>
      <w:r/>
    </w:p>
    <w:p>
      <w:pPr>
        <w:pStyle w:val="668"/>
        <w:ind w:firstLine="420"/>
        <w:spacing w:before="0" w:after="0" w:line="560" w:lineRule="exact"/>
        <w:rPr>
          <w:rFonts w:hint="eastAsia" w:ascii="Times New Roman" w:hAnsi="Times New Roman"/>
          <w:b w:val="0"/>
          <w:bCs w:val="0"/>
          <w:highlight w:val="none"/>
        </w:rPr>
      </w:pPr>
      <w:r/>
      <w:bookmarkStart w:id="188" w:name="_Toc513029227"/>
      <w:r/>
      <w:bookmarkStart w:id="189" w:name="_Toc20823299"/>
      <w:r/>
      <w:bookmarkStart w:id="190" w:name="_Toc16938543"/>
      <w:r>
        <w:rPr>
          <w:rFonts w:hint="eastAsia" w:ascii="Times New Roman" w:hAnsi="Times New Roman"/>
          <w:b w:val="0"/>
          <w:bCs w:val="0"/>
          <w:highlight w:val="none"/>
        </w:rPr>
        <w:t xml:space="preserve">20、投标文件</w:t>
      </w:r>
      <w:bookmarkEnd w:id="188"/>
      <w:r/>
      <w:bookmarkEnd w:id="189"/>
      <w:r/>
      <w:bookmarkEnd w:id="190"/>
      <w:r>
        <w:rPr>
          <w:rFonts w:hint="eastAsia" w:ascii="Times New Roman" w:hAnsi="Times New Roman"/>
          <w:b w:val="0"/>
          <w:bCs w:val="0"/>
          <w:highlight w:val="none"/>
        </w:rPr>
        <w:t xml:space="preserve">的拒收</w:t>
      </w:r>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rPr>
          <w:rFonts w:hint="eastAsia"/>
          <w:sz w:val="24"/>
          <w:highlight w:val="none"/>
        </w:rPr>
        <w:t xml:space="preserve">20.1</w:t>
      </w:r>
      <w:r>
        <w:rPr>
          <w:rFonts w:hint="eastAsia"/>
          <w:bCs/>
          <w:sz w:val="24"/>
          <w:highlight w:val="none"/>
        </w:rPr>
        <w:t xml:space="preserve">采购代理机构拒绝接收在其规定的投标截止时间后上传的任何投标文件。</w:t>
      </w:r>
      <w:r>
        <w:rPr>
          <w:rFonts w:hint="eastAsia"/>
          <w:bCs/>
          <w:sz w:val="24"/>
          <w:highlight w:val="none"/>
        </w:rPr>
      </w:r>
      <w:r/>
    </w:p>
    <w:p>
      <w:pPr>
        <w:pStyle w:val="668"/>
        <w:ind w:firstLine="420"/>
        <w:spacing w:before="0" w:after="0" w:line="560" w:lineRule="exact"/>
        <w:rPr>
          <w:rFonts w:hint="eastAsia" w:ascii="Times New Roman" w:hAnsi="Times New Roman"/>
          <w:b w:val="0"/>
          <w:bCs w:val="0"/>
          <w:highlight w:val="none"/>
        </w:rPr>
      </w:pPr>
      <w:r/>
      <w:bookmarkStart w:id="191" w:name="_Toc513029228"/>
      <w:r/>
      <w:bookmarkStart w:id="192" w:name="_Toc16938544"/>
      <w:r/>
      <w:bookmarkStart w:id="193" w:name="_Toc20823300"/>
      <w:r/>
      <w:bookmarkStart w:id="194" w:name="_Toc16938545"/>
      <w:r/>
      <w:bookmarkStart w:id="195" w:name="_Toc120614218"/>
      <w:r/>
      <w:bookmarkStart w:id="196" w:name="_Toc513029229"/>
      <w:r/>
      <w:bookmarkStart w:id="197" w:name="_Toc20823301"/>
      <w:r>
        <w:rPr>
          <w:rFonts w:hint="eastAsia" w:ascii="Times New Roman" w:hAnsi="Times New Roman"/>
          <w:b w:val="0"/>
          <w:bCs w:val="0"/>
          <w:highlight w:val="none"/>
        </w:rPr>
        <w:t xml:space="preserve">21、投标文件的撤回和修改</w:t>
      </w:r>
      <w:bookmarkEnd w:id="191"/>
      <w:r/>
      <w:bookmarkEnd w:id="192"/>
      <w:r/>
      <w:bookmarkEnd w:id="193"/>
      <w:r>
        <w:rPr>
          <w:rFonts w:hint="eastAsia" w:ascii="Times New Roman" w:hAnsi="Times New Roman"/>
          <w:b w:val="0"/>
          <w:bCs w:val="0"/>
          <w:highlight w:val="none"/>
        </w:rPr>
      </w:r>
      <w:r/>
    </w:p>
    <w:p>
      <w:pPr>
        <w:pStyle w:val="664"/>
        <w:ind w:firstLine="480"/>
        <w:spacing w:line="560" w:lineRule="exact"/>
        <w:rPr>
          <w:rFonts w:hint="eastAsia"/>
          <w:sz w:val="24"/>
          <w:highlight w:val="none"/>
        </w:rPr>
      </w:pPr>
      <w:r>
        <w:rPr>
          <w:rFonts w:hint="eastAsia"/>
          <w:sz w:val="24"/>
          <w:highlight w:val="none"/>
        </w:rPr>
        <w:t xml:space="preserve">21.1 投标文件的撤回</w:t>
      </w:r>
      <w:r>
        <w:rPr>
          <w:rFonts w:hint="eastAsia"/>
          <w:sz w:val="24"/>
          <w:highlight w:val="none"/>
        </w:rPr>
      </w:r>
      <w:r/>
    </w:p>
    <w:p>
      <w:pPr>
        <w:pStyle w:val="664"/>
        <w:ind w:firstLine="480"/>
        <w:spacing w:line="560" w:lineRule="exact"/>
        <w:rPr>
          <w:rFonts w:hint="eastAsia"/>
          <w:sz w:val="24"/>
          <w:highlight w:val="none"/>
        </w:rPr>
      </w:pPr>
      <w:r>
        <w:rPr>
          <w:rFonts w:hint="eastAsia"/>
          <w:sz w:val="24"/>
          <w:highlight w:val="none"/>
        </w:rPr>
        <w:t xml:space="preserve">21.1.1 电子投标文件的撤回</w:t>
      </w:r>
      <w:r>
        <w:rPr>
          <w:rFonts w:hint="eastAsia"/>
          <w:sz w:val="24"/>
          <w:highlight w:val="none"/>
        </w:rPr>
      </w:r>
      <w:r/>
    </w:p>
    <w:p>
      <w:pPr>
        <w:pStyle w:val="664"/>
        <w:ind w:firstLine="480"/>
        <w:spacing w:line="560" w:lineRule="exact"/>
        <w:rPr>
          <w:rFonts w:hint="eastAsia"/>
          <w:sz w:val="24"/>
          <w:highlight w:val="none"/>
        </w:rPr>
      </w:pPr>
      <w:r>
        <w:rPr>
          <w:rFonts w:hint="eastAsia"/>
          <w:sz w:val="24"/>
          <w:highlight w:val="none"/>
        </w:rPr>
        <w:t xml:space="preserve">投标人可在投标截止时间前，撤回其电子投标文件，具体操作方法见《操作手册》。</w:t>
      </w:r>
      <w:r>
        <w:rPr>
          <w:rFonts w:hint="eastAsia"/>
          <w:sz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21.1.</w:t>
      </w:r>
      <w:r>
        <w:rPr>
          <w:sz w:val="24"/>
          <w:szCs w:val="24"/>
          <w:highlight w:val="none"/>
        </w:rPr>
        <w:t xml:space="preserve">2</w:t>
      </w:r>
      <w:r>
        <w:rPr>
          <w:rFonts w:hint="eastAsia"/>
          <w:sz w:val="24"/>
          <w:szCs w:val="24"/>
          <w:highlight w:val="none"/>
        </w:rPr>
        <w:t xml:space="preserve"> 投标人撤回电子投标文件，则认为其不再参与本项目投标活动。</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21.2 投标文件的修改</w:t>
      </w:r>
      <w:r>
        <w:rPr>
          <w:rFonts w:hint="eastAsia"/>
          <w:sz w:val="24"/>
          <w:szCs w:val="24"/>
          <w:highlight w:val="none"/>
        </w:rPr>
      </w:r>
      <w:r/>
    </w:p>
    <w:p>
      <w:pPr>
        <w:pStyle w:val="664"/>
        <w:ind w:firstLine="480"/>
        <w:spacing w:line="560" w:lineRule="exact"/>
        <w:rPr>
          <w:rFonts w:hint="eastAsia"/>
          <w:sz w:val="24"/>
          <w:highlight w:val="none"/>
        </w:rPr>
      </w:pPr>
      <w:r>
        <w:rPr>
          <w:rFonts w:hint="eastAsia"/>
          <w:sz w:val="24"/>
          <w:highlight w:val="none"/>
        </w:rPr>
        <w:t xml:space="preserve">21.2.1投标人可在投标截止时间前，对其电子投标文件进行修改，具体操作方法见《操作手册》。</w:t>
      </w:r>
      <w:r>
        <w:rPr>
          <w:rFonts w:hint="eastAsia"/>
          <w:sz w:val="24"/>
          <w:highlight w:val="none"/>
        </w:rPr>
      </w:r>
      <w:r/>
    </w:p>
    <w:p>
      <w:pPr>
        <w:pStyle w:val="664"/>
        <w:ind w:firstLine="480"/>
        <w:spacing w:line="560" w:lineRule="exact"/>
        <w:rPr>
          <w:rFonts w:hint="eastAsia"/>
          <w:bCs/>
          <w:sz w:val="24"/>
          <w:highlight w:val="none"/>
        </w:rPr>
      </w:pPr>
      <w:r>
        <w:rPr>
          <w:rFonts w:hint="eastAsia"/>
          <w:sz w:val="24"/>
          <w:highlight w:val="none"/>
        </w:rPr>
        <w:t xml:space="preserve">21.2.2</w:t>
      </w:r>
      <w:r>
        <w:rPr>
          <w:rFonts w:hint="eastAsia"/>
          <w:bCs/>
          <w:sz w:val="24"/>
          <w:highlight w:val="none"/>
        </w:rPr>
        <w:t xml:space="preserve"> 在投标截止时间之后，投标人不得对其电子投标文件作任何修改。</w:t>
      </w:r>
      <w:r>
        <w:rPr>
          <w:rFonts w:hint="eastAsia"/>
          <w:bCs/>
          <w:sz w:val="24"/>
          <w:highlight w:val="none"/>
        </w:rPr>
      </w:r>
      <w:r/>
    </w:p>
    <w:p>
      <w:pPr>
        <w:pStyle w:val="664"/>
        <w:ind w:firstLine="480"/>
        <w:spacing w:line="560" w:lineRule="exact"/>
        <w:rPr>
          <w:bCs/>
          <w:sz w:val="24"/>
          <w:highlight w:val="none"/>
        </w:rPr>
      </w:pPr>
      <w:r>
        <w:rPr>
          <w:rFonts w:hint="eastAsia"/>
          <w:sz w:val="24"/>
          <w:highlight w:val="none"/>
        </w:rPr>
        <w:t xml:space="preserve">21.3</w:t>
      </w:r>
      <w:r>
        <w:rPr>
          <w:rFonts w:hint="eastAsia"/>
          <w:bCs/>
          <w:sz w:val="24"/>
          <w:highlight w:val="none"/>
        </w:rPr>
        <w:t xml:space="preserve"> 在投标截止时间至招标文件中规定的投标有效期满之间的这段时间内，投标人不得撤回其投标。</w:t>
      </w:r>
      <w:r>
        <w:rPr>
          <w:bCs/>
          <w:sz w:val="24"/>
          <w:highlight w:val="none"/>
        </w:rPr>
      </w:r>
      <w:r/>
    </w:p>
    <w:p>
      <w:pPr>
        <w:pStyle w:val="667"/>
        <w:ind w:firstLine="482"/>
        <w:spacing w:before="0" w:after="0" w:line="560" w:lineRule="exact"/>
        <w:rPr>
          <w:rFonts w:hint="eastAsia"/>
          <w:highlight w:val="none"/>
        </w:rPr>
      </w:pPr>
      <w:r/>
      <w:bookmarkStart w:id="198" w:name="_Toc11320"/>
      <w:r/>
      <w:bookmarkStart w:id="199" w:name="_Toc2870"/>
      <w:r/>
      <w:bookmarkStart w:id="200" w:name="_Toc10832"/>
      <w:r>
        <w:rPr>
          <w:rFonts w:hint="eastAsia"/>
          <w:highlight w:val="none"/>
        </w:rPr>
        <w:t xml:space="preserve">五、开标与评标</w:t>
      </w:r>
      <w:bookmarkEnd w:id="194"/>
      <w:r/>
      <w:bookmarkEnd w:id="195"/>
      <w:r/>
      <w:bookmarkEnd w:id="196"/>
      <w:r/>
      <w:bookmarkEnd w:id="197"/>
      <w:r/>
      <w:bookmarkEnd w:id="198"/>
      <w:r/>
      <w:bookmarkEnd w:id="199"/>
      <w:r/>
      <w:bookmarkEnd w:id="200"/>
      <w:r>
        <w:rPr>
          <w:rFonts w:hint="eastAsia"/>
          <w:highlight w:val="none"/>
        </w:rPr>
      </w:r>
      <w:r/>
    </w:p>
    <w:p>
      <w:pPr>
        <w:pStyle w:val="668"/>
        <w:ind w:firstLine="420"/>
        <w:spacing w:before="0" w:after="0" w:line="560" w:lineRule="exact"/>
        <w:rPr>
          <w:rFonts w:hint="eastAsia" w:ascii="Times New Roman" w:hAnsi="Times New Roman"/>
          <w:b w:val="0"/>
          <w:bCs w:val="0"/>
          <w:highlight w:val="none"/>
        </w:rPr>
      </w:pPr>
      <w:r/>
      <w:bookmarkStart w:id="201" w:name="_Toc20823302"/>
      <w:r/>
      <w:bookmarkStart w:id="202" w:name="_Toc16938546"/>
      <w:r/>
      <w:bookmarkStart w:id="203" w:name="_Toc513029230"/>
      <w:r/>
      <w:bookmarkStart w:id="204" w:name="_Toc16938547"/>
      <w:r/>
      <w:bookmarkStart w:id="205" w:name="_Toc513029231"/>
      <w:r/>
      <w:bookmarkStart w:id="206" w:name="_Toc20823303"/>
      <w:r>
        <w:rPr>
          <w:rFonts w:hint="eastAsia" w:ascii="Times New Roman" w:hAnsi="Times New Roman"/>
          <w:b w:val="0"/>
          <w:bCs w:val="0"/>
          <w:highlight w:val="none"/>
        </w:rPr>
        <w:t xml:space="preserve">22、开标</w:t>
      </w:r>
      <w:bookmarkEnd w:id="201"/>
      <w:r/>
      <w:bookmarkEnd w:id="202"/>
      <w:r/>
      <w:bookmarkEnd w:id="203"/>
      <w:r>
        <w:rPr>
          <w:rFonts w:hint="eastAsia" w:ascii="Times New Roman" w:hAnsi="Times New Roman"/>
          <w:b w:val="0"/>
          <w:bCs w:val="0"/>
          <w:highlight w:val="none"/>
        </w:rPr>
      </w:r>
      <w:r/>
    </w:p>
    <w:p>
      <w:pPr>
        <w:pStyle w:val="796"/>
        <w:ind w:firstLine="420"/>
        <w:spacing w:line="560" w:lineRule="exact"/>
        <w:rPr>
          <w:rFonts w:hint="eastAsia"/>
          <w:sz w:val="24"/>
          <w:highlight w:val="none"/>
          <w:lang w:val="en-US"/>
        </w:rPr>
      </w:pPr>
      <w:r>
        <w:rPr>
          <w:rFonts w:hint="eastAsia"/>
          <w:sz w:val="24"/>
          <w:highlight w:val="none"/>
        </w:rPr>
        <w:t xml:space="preserve">2</w:t>
      </w:r>
      <w:r>
        <w:rPr>
          <w:rFonts w:hint="eastAsia"/>
          <w:sz w:val="24"/>
          <w:highlight w:val="none"/>
          <w:lang w:val="en-US"/>
        </w:rPr>
        <w:t xml:space="preserve">2</w:t>
      </w:r>
      <w:r>
        <w:rPr>
          <w:rFonts w:hint="eastAsia"/>
          <w:sz w:val="24"/>
          <w:highlight w:val="none"/>
        </w:rPr>
        <w:t xml:space="preserve">.1</w:t>
      </w:r>
      <w:r>
        <w:rPr>
          <w:rFonts w:hint="eastAsia"/>
          <w:bCs/>
          <w:sz w:val="24"/>
          <w:highlight w:val="none"/>
        </w:rPr>
        <w:t xml:space="preserve"> 采购代理机构将在招标公告中规定的时间和地点组织公开开标</w:t>
      </w:r>
      <w:r>
        <w:rPr>
          <w:rFonts w:hint="eastAsia"/>
          <w:sz w:val="24"/>
          <w:highlight w:val="none"/>
          <w:lang w:val="en-US"/>
        </w:rPr>
        <w:t xml:space="preserve">。投标人应当按照《“苏采云”系统供应商操作手册》规定，参加开标活动和在“苏采云”系统规定的时间内对投标文件进行解密。</w:t>
      </w:r>
      <w:r>
        <w:rPr>
          <w:rFonts w:hint="eastAsia"/>
          <w:sz w:val="24"/>
          <w:highlight w:val="none"/>
          <w:lang w:val="en-US"/>
        </w:rPr>
      </w:r>
      <w:r/>
    </w:p>
    <w:p>
      <w:pPr>
        <w:pStyle w:val="796"/>
        <w:ind w:firstLine="420"/>
        <w:spacing w:line="560" w:lineRule="exact"/>
        <w:rPr>
          <w:rFonts w:hint="eastAsia"/>
          <w:sz w:val="24"/>
          <w:szCs w:val="24"/>
          <w:highlight w:val="none"/>
        </w:rPr>
      </w:pPr>
      <w:r>
        <w:rPr>
          <w:rFonts w:hint="eastAsia"/>
          <w:sz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highlight w:val="none"/>
        </w:rPr>
      </w:r>
      <w:r/>
    </w:p>
    <w:p>
      <w:pPr>
        <w:pStyle w:val="664"/>
        <w:ind w:firstLine="480"/>
        <w:spacing w:line="560" w:lineRule="exact"/>
        <w:rPr>
          <w:rFonts w:hint="eastAsia"/>
          <w:highlight w:val="none"/>
        </w:rPr>
      </w:pPr>
      <w:r>
        <w:rPr>
          <w:rFonts w:hint="eastAsia"/>
          <w:bCs/>
          <w:sz w:val="24"/>
          <w:highlight w:val="none"/>
        </w:rPr>
        <w:t xml:space="preserve">22.3投标人在开标过程中涉及到的投标文件解密、开标结果确认等工作，应按照《操作手册》规定执行。</w:t>
      </w:r>
      <w:r>
        <w:rPr>
          <w:rFonts w:hint="eastAsia"/>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22.4投标人如果对开标过程和开标记录有疑义，应当根据《操作手册》规定提出，如 “苏采云”系统中《开标记录表》宣布后5分钟内未提出的，视同认可开标结果。</w:t>
      </w:r>
      <w:r>
        <w:rPr>
          <w:rFonts w:hint="eastAsia"/>
          <w:sz w:val="24"/>
          <w:szCs w:val="24"/>
          <w:highlight w:val="none"/>
        </w:rPr>
      </w:r>
      <w:r/>
    </w:p>
    <w:p>
      <w:pPr>
        <w:pStyle w:val="664"/>
        <w:ind w:firstLine="420"/>
        <w:keepLines/>
        <w:keepNext/>
        <w:spacing w:line="560" w:lineRule="exact"/>
        <w:rPr>
          <w:rFonts w:eastAsia="黑体" w:cs="Arial"/>
          <w:sz w:val="28"/>
          <w:szCs w:val="28"/>
          <w:highlight w:val="none"/>
        </w:rPr>
        <w:outlineLvl w:val="3"/>
      </w:pPr>
      <w:r>
        <w:rPr>
          <w:rFonts w:hint="eastAsia" w:eastAsia="黑体" w:cs="Arial"/>
          <w:sz w:val="28"/>
          <w:szCs w:val="28"/>
          <w:highlight w:val="none"/>
        </w:rPr>
        <w:t xml:space="preserve">2</w:t>
      </w:r>
      <w:r>
        <w:rPr>
          <w:rFonts w:eastAsia="黑体" w:cs="Arial"/>
          <w:sz w:val="28"/>
          <w:szCs w:val="28"/>
          <w:highlight w:val="none"/>
        </w:rPr>
        <w:t xml:space="preserve">3</w:t>
      </w:r>
      <w:r>
        <w:rPr>
          <w:rFonts w:hint="eastAsia" w:eastAsia="黑体" w:cs="Arial"/>
          <w:sz w:val="28"/>
          <w:szCs w:val="28"/>
          <w:highlight w:val="none"/>
        </w:rPr>
        <w:t xml:space="preserve">、评标委员会</w:t>
      </w:r>
      <w:r>
        <w:rPr>
          <w:rFonts w:eastAsia="黑体" w:cs="Arial"/>
          <w:sz w:val="28"/>
          <w:szCs w:val="28"/>
          <w:highlight w:val="none"/>
        </w:rPr>
      </w:r>
      <w:r/>
    </w:p>
    <w:p>
      <w:pPr>
        <w:pStyle w:val="664"/>
        <w:ind w:firstLine="240"/>
        <w:keepLines/>
        <w:keepNext/>
        <w:spacing w:line="560" w:lineRule="exact"/>
        <w:rPr>
          <w:rFonts w:hint="eastAsia"/>
          <w:b/>
          <w:sz w:val="24"/>
          <w:szCs w:val="24"/>
          <w:highlight w:val="none"/>
        </w:rPr>
        <w:outlineLvl w:val="3"/>
      </w:pPr>
      <w:r>
        <w:rPr>
          <w:rFonts w:hint="eastAsia"/>
          <w:sz w:val="24"/>
          <w:szCs w:val="24"/>
          <w:highlight w:val="none"/>
        </w:rPr>
        <w:t xml:space="preserve"> 23.1</w:t>
      </w:r>
      <w:r>
        <w:rPr>
          <w:rFonts w:hint="eastAsia"/>
          <w:b/>
          <w:sz w:val="24"/>
          <w:szCs w:val="24"/>
          <w:highlight w:val="none"/>
        </w:rPr>
        <w:t xml:space="preserve"> </w:t>
      </w:r>
      <w:r>
        <w:rPr>
          <w:rFonts w:hint="eastAsia"/>
          <w:sz w:val="24"/>
          <w:szCs w:val="24"/>
          <w:highlight w:val="none"/>
        </w:rPr>
        <w:t xml:space="preserve">开标后，采购代理机构将立即组织评标委员会（以下简称评委会）进行评标。</w:t>
      </w:r>
      <w:r>
        <w:rPr>
          <w:rFonts w:hint="eastAsia"/>
          <w:b/>
          <w:sz w:val="24"/>
          <w:szCs w:val="24"/>
          <w:highlight w:val="none"/>
        </w:rPr>
      </w:r>
      <w:r/>
    </w:p>
    <w:p>
      <w:pPr>
        <w:pStyle w:val="664"/>
        <w:spacing w:line="560" w:lineRule="exact"/>
        <w:rPr>
          <w:rFonts w:hint="eastAsia"/>
          <w:sz w:val="24"/>
          <w:szCs w:val="24"/>
          <w:highlight w:val="none"/>
        </w:rPr>
      </w:pPr>
      <w:r>
        <w:rPr>
          <w:rFonts w:hint="eastAsia"/>
          <w:b/>
          <w:sz w:val="24"/>
          <w:szCs w:val="24"/>
          <w:highlight w:val="none"/>
        </w:rPr>
        <w:t xml:space="preserve">  </w:t>
      </w:r>
      <w:r>
        <w:rPr>
          <w:rFonts w:hint="eastAsia"/>
          <w:sz w:val="24"/>
          <w:szCs w:val="24"/>
          <w:highlight w:val="none"/>
        </w:rPr>
        <w:t xml:space="preserve"> 23.2 评委会由采购人代表和有关技术、经济等方面的专家组成，且人员构成符合政府采购有关规定。</w:t>
      </w:r>
      <w:r>
        <w:rPr>
          <w:rFonts w:hint="eastAsia"/>
          <w:sz w:val="24"/>
          <w:szCs w:val="24"/>
          <w:highlight w:val="none"/>
        </w:rPr>
      </w:r>
      <w:r/>
    </w:p>
    <w:p>
      <w:pPr>
        <w:pStyle w:val="664"/>
        <w:spacing w:line="560" w:lineRule="exact"/>
        <w:rPr>
          <w:rFonts w:hint="eastAsia"/>
          <w:sz w:val="24"/>
          <w:szCs w:val="24"/>
          <w:highlight w:val="none"/>
        </w:rPr>
      </w:pPr>
      <w:r>
        <w:rPr>
          <w:rFonts w:hint="eastAsia"/>
          <w:b/>
          <w:sz w:val="24"/>
          <w:szCs w:val="24"/>
          <w:highlight w:val="none"/>
        </w:rPr>
        <w:t xml:space="preserve">  </w:t>
      </w:r>
      <w:r>
        <w:rPr>
          <w:rFonts w:hint="eastAsia"/>
          <w:sz w:val="24"/>
          <w:szCs w:val="24"/>
          <w:highlight w:val="none"/>
        </w:rPr>
        <w:t xml:space="preserve"> 23.3评委会独立工作，负责评审所有投标文件并确定中标侯选人。</w:t>
      </w:r>
      <w:r>
        <w:rPr>
          <w:rFonts w:hint="eastAsia"/>
          <w:sz w:val="24"/>
          <w:szCs w:val="24"/>
          <w:highlight w:val="none"/>
        </w:rPr>
      </w:r>
      <w:r/>
    </w:p>
    <w:p>
      <w:pPr>
        <w:pStyle w:val="668"/>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24、评标过程的保密与公正</w:t>
      </w:r>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bookmarkEnd w:id="204"/>
      <w:r/>
      <w:bookmarkEnd w:id="205"/>
      <w:r/>
      <w:bookmarkEnd w:id="206"/>
      <w:r>
        <w:rPr>
          <w:rFonts w:hint="eastAsia"/>
          <w:sz w:val="24"/>
          <w:highlight w:val="none"/>
        </w:rPr>
        <w:t xml:space="preserve">24.1</w:t>
      </w:r>
      <w:r>
        <w:rPr>
          <w:rFonts w:hint="eastAsia"/>
          <w:bCs/>
          <w:sz w:val="24"/>
          <w:highlight w:val="none"/>
        </w:rPr>
        <w:t xml:space="preserve">凡是与审查、澄清、评价和比较投标的有关资料以及授标建议等，采购人、评委、采购代理机构均不得向投标人或与评标无关的其他人员透露。</w:t>
      </w:r>
      <w:r>
        <w:rPr>
          <w:rFonts w:hint="eastAsia"/>
          <w:bCs/>
          <w:sz w:val="24"/>
          <w:highlight w:val="none"/>
        </w:rPr>
      </w:r>
      <w:r/>
    </w:p>
    <w:p>
      <w:pPr>
        <w:pStyle w:val="664"/>
        <w:ind w:firstLine="480"/>
        <w:spacing w:line="560" w:lineRule="exact"/>
        <w:rPr>
          <w:rFonts w:hint="eastAsia"/>
          <w:sz w:val="24"/>
          <w:szCs w:val="24"/>
          <w:highlight w:val="none"/>
        </w:rPr>
      </w:pPr>
      <w:r>
        <w:rPr>
          <w:rFonts w:hint="eastAsia"/>
          <w:sz w:val="24"/>
          <w:highlight w:val="none"/>
        </w:rPr>
        <w:t xml:space="preserve">24.2</w:t>
      </w:r>
      <w:r>
        <w:rPr>
          <w:rFonts w:hint="eastAsia"/>
          <w:sz w:val="24"/>
          <w:szCs w:val="24"/>
          <w:highlight w:val="none"/>
        </w:rPr>
        <w:t xml:space="preserve">在评标过程中，投标人不得以任何行为影响评标过程，否则其投标文件将被作为无效投标文件。</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24.</w:t>
      </w:r>
      <w:r>
        <w:rPr>
          <w:sz w:val="24"/>
          <w:szCs w:val="24"/>
          <w:highlight w:val="none"/>
        </w:rPr>
        <w:t xml:space="preserve">3</w:t>
      </w:r>
      <w:r>
        <w:rPr>
          <w:rFonts w:hint="eastAsia"/>
          <w:sz w:val="24"/>
          <w:szCs w:val="24"/>
          <w:highlight w:val="none"/>
        </w:rPr>
        <w:t xml:space="preserve"> 采购代理机构和评委会不向未中标的投标人解释未中标原因，也不公布评标过程中的相关细节。</w:t>
      </w:r>
      <w:r>
        <w:rPr>
          <w:rFonts w:hint="eastAsia"/>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rPr>
          <w:sz w:val="24"/>
          <w:szCs w:val="24"/>
          <w:highlight w:val="none"/>
        </w:rPr>
      </w:r>
      <w:r/>
    </w:p>
    <w:p>
      <w:pPr>
        <w:pStyle w:val="668"/>
        <w:ind w:firstLine="420"/>
        <w:spacing w:before="0" w:after="0" w:line="560" w:lineRule="exact"/>
        <w:rPr>
          <w:rFonts w:hint="eastAsia" w:ascii="Times New Roman" w:hAnsi="Times New Roman"/>
          <w:b w:val="0"/>
          <w:bCs w:val="0"/>
          <w:highlight w:val="none"/>
        </w:rPr>
      </w:pPr>
      <w:r/>
      <w:bookmarkStart w:id="207" w:name="_Toc513029232"/>
      <w:r/>
      <w:bookmarkStart w:id="208" w:name="_Toc20823304"/>
      <w:r/>
      <w:bookmarkStart w:id="209" w:name="_Toc16938548"/>
      <w:r>
        <w:rPr>
          <w:rFonts w:hint="eastAsia" w:ascii="Times New Roman" w:hAnsi="Times New Roman"/>
          <w:b w:val="0"/>
          <w:bCs w:val="0"/>
          <w:highlight w:val="none"/>
        </w:rPr>
        <w:t xml:space="preserve">25、投标文件的澄清</w:t>
      </w:r>
      <w:bookmarkEnd w:id="207"/>
      <w:r/>
      <w:bookmarkEnd w:id="208"/>
      <w:r/>
      <w:bookmarkEnd w:id="209"/>
      <w:r>
        <w:rPr>
          <w:rFonts w:hint="eastAsia" w:ascii="Times New Roman" w:hAnsi="Times New Roman"/>
          <w:b w:val="0"/>
          <w:bCs w:val="0"/>
          <w:highlight w:val="none"/>
        </w:rPr>
      </w:r>
      <w:r/>
    </w:p>
    <w:p>
      <w:pPr>
        <w:pStyle w:val="664"/>
        <w:ind w:firstLine="480"/>
        <w:spacing w:line="560" w:lineRule="exact"/>
        <w:rPr>
          <w:sz w:val="24"/>
          <w:szCs w:val="24"/>
          <w:highlight w:val="none"/>
        </w:rPr>
      </w:pPr>
      <w:r>
        <w:rPr>
          <w:sz w:val="24"/>
          <w:szCs w:val="24"/>
          <w:highlight w:val="none"/>
        </w:rPr>
        <w:t xml:space="preserve">2</w:t>
      </w:r>
      <w:r>
        <w:rPr>
          <w:rFonts w:hint="eastAsia"/>
          <w:sz w:val="24"/>
          <w:szCs w:val="24"/>
          <w:highlight w:val="none"/>
        </w:rPr>
        <w:t xml:space="preserve">5.</w:t>
      </w:r>
      <w:r>
        <w:rPr>
          <w:sz w:val="24"/>
          <w:szCs w:val="24"/>
          <w:highlight w:val="none"/>
        </w:rPr>
        <w:t xml:space="preserve">1</w:t>
      </w:r>
      <w:r>
        <w:rPr>
          <w:rFonts w:hint="eastAsia"/>
          <w:sz w:val="24"/>
          <w:szCs w:val="24"/>
          <w:highlight w:val="none"/>
        </w:rPr>
        <w:t xml:space="preserve">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 xml:space="preserve">，有权要求投标人作出必要的澄清、说明或者补正。</w:t>
      </w:r>
      <w:r>
        <w:rPr>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投标人的澄清、说明或者补正不得超出投标文件的范围或者改变投标文件的实质性内容。</w:t>
      </w:r>
      <w:r>
        <w:rPr>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评委会</w:t>
      </w:r>
      <w:r>
        <w:rPr>
          <w:sz w:val="24"/>
          <w:szCs w:val="24"/>
          <w:highlight w:val="none"/>
        </w:rPr>
        <w:t xml:space="preserve">并非对每个投标人都做澄清要求</w:t>
      </w:r>
      <w:r>
        <w:rPr>
          <w:rFonts w:hint="eastAsia"/>
          <w:sz w:val="24"/>
          <w:szCs w:val="24"/>
          <w:highlight w:val="none"/>
        </w:rPr>
        <w:t xml:space="preserve">。</w:t>
      </w:r>
      <w:r>
        <w:rPr>
          <w:rFonts w:hint="eastAsia"/>
          <w:sz w:val="24"/>
          <w:szCs w:val="24"/>
          <w:highlight w:val="none"/>
        </w:rPr>
      </w:r>
      <w:r/>
    </w:p>
    <w:p>
      <w:pPr>
        <w:pStyle w:val="796"/>
        <w:ind w:firstLine="422"/>
        <w:spacing w:line="560" w:lineRule="exact"/>
        <w:rPr>
          <w:rFonts w:hint="eastAsia"/>
          <w:sz w:val="24"/>
          <w:szCs w:val="24"/>
          <w:highlight w:val="none"/>
        </w:rPr>
      </w:pPr>
      <w:r>
        <w:rPr>
          <w:rFonts w:hint="eastAsia"/>
          <w:sz w:val="24"/>
          <w:szCs w:val="24"/>
          <w:highlight w:val="none"/>
        </w:rPr>
        <w:t xml:space="preserve">2</w:t>
      </w:r>
      <w:r>
        <w:rPr>
          <w:rFonts w:hint="eastAsia"/>
          <w:sz w:val="24"/>
          <w:szCs w:val="24"/>
          <w:highlight w:val="none"/>
          <w:lang w:val="en-US"/>
        </w:rPr>
        <w:t xml:space="preserve">5</w:t>
      </w:r>
      <w:r>
        <w:rPr>
          <w:rFonts w:hint="eastAsia"/>
          <w:sz w:val="24"/>
          <w:szCs w:val="24"/>
          <w:highlight w:val="none"/>
        </w:rPr>
        <w:t xml:space="preserve">.2需要投标人进行澄清、说明和补正的，</w:t>
      </w:r>
      <w:r>
        <w:rPr>
          <w:rFonts w:hint="eastAsia"/>
          <w:sz w:val="24"/>
          <w:highlight w:val="none"/>
          <w:lang w:val="en-US"/>
        </w:rPr>
        <w:t xml:space="preserve">本项目投标人的澄清、说明或者补正采用线上澄清，</w:t>
      </w:r>
      <w:r>
        <w:rPr>
          <w:rFonts w:hint="eastAsia"/>
          <w:sz w:val="24"/>
          <w:szCs w:val="24"/>
          <w:highlight w:val="none"/>
        </w:rPr>
        <w:t xml:space="preserve">评委会将通过</w:t>
      </w:r>
      <w:r>
        <w:rPr>
          <w:rFonts w:hint="eastAsia"/>
          <w:sz w:val="24"/>
          <w:highlight w:val="none"/>
          <w:lang w:val="en-US"/>
        </w:rPr>
        <w:t xml:space="preserve">“苏采云”系统</w:t>
      </w:r>
      <w:r>
        <w:rPr>
          <w:rFonts w:hint="eastAsia"/>
          <w:sz w:val="24"/>
          <w:szCs w:val="24"/>
          <w:highlight w:val="none"/>
        </w:rPr>
        <w:t xml:space="preserve">向投标人发出“澄清要求函”，接到“澄清要求函”的投标人应当按照要求</w:t>
      </w:r>
      <w:r>
        <w:rPr>
          <w:rFonts w:hint="eastAsia"/>
          <w:sz w:val="24"/>
          <w:highlight w:val="none"/>
          <w:lang w:val="en-US"/>
        </w:rPr>
        <w:t xml:space="preserve">在规定时间内</w:t>
      </w:r>
      <w:r>
        <w:rPr>
          <w:rFonts w:hint="eastAsia"/>
          <w:sz w:val="24"/>
          <w:szCs w:val="24"/>
          <w:highlight w:val="none"/>
          <w:lang w:val="en-US"/>
        </w:rPr>
        <w:t xml:space="preserve">通过</w:t>
      </w:r>
      <w:r>
        <w:rPr>
          <w:rFonts w:hint="eastAsia"/>
          <w:sz w:val="24"/>
          <w:highlight w:val="none"/>
          <w:lang w:val="en-US"/>
        </w:rPr>
        <w:t xml:space="preserve">“苏采云”系统</w:t>
      </w:r>
      <w:r>
        <w:rPr>
          <w:rFonts w:hint="eastAsia"/>
          <w:sz w:val="24"/>
          <w:szCs w:val="24"/>
          <w:highlight w:val="none"/>
        </w:rPr>
        <w:t xml:space="preserve">中提交“澄清响应函”并加盖CA电子公章。澄清、说明和补正的内容作为投标文件的补充部分，具体操作方式见《操作手册》。</w:t>
      </w:r>
      <w:r>
        <w:rPr>
          <w:rFonts w:hint="eastAsia"/>
          <w:sz w:val="24"/>
          <w:szCs w:val="24"/>
          <w:highlight w:val="none"/>
        </w:rPr>
      </w:r>
      <w:r/>
    </w:p>
    <w:p>
      <w:pPr>
        <w:pStyle w:val="664"/>
        <w:spacing w:line="560" w:lineRule="exact"/>
        <w:rPr>
          <w:rFonts w:hint="eastAsia"/>
          <w:sz w:val="24"/>
          <w:szCs w:val="24"/>
          <w:highlight w:val="none"/>
        </w:rPr>
      </w:pPr>
      <w:r>
        <w:rPr>
          <w:rFonts w:hint="eastAsia"/>
          <w:sz w:val="24"/>
          <w:szCs w:val="24"/>
          <w:highlight w:val="none"/>
        </w:rPr>
        <w:t xml:space="preserve">    25.3 接到评委会澄清、说明和补正要求的投标人如未按规定做出澄清、说明和补正，其风险由投标人自行承担。</w:t>
      </w:r>
      <w:r>
        <w:rPr>
          <w:rFonts w:hint="eastAsia"/>
          <w:sz w:val="24"/>
          <w:szCs w:val="24"/>
          <w:highlight w:val="none"/>
        </w:rPr>
      </w:r>
      <w:r/>
    </w:p>
    <w:p>
      <w:pPr>
        <w:pStyle w:val="668"/>
        <w:ind w:firstLine="420"/>
        <w:spacing w:before="0" w:after="0" w:line="560" w:lineRule="exact"/>
        <w:rPr>
          <w:rFonts w:hint="eastAsia" w:ascii="Times New Roman" w:hAnsi="Times New Roman"/>
          <w:b w:val="0"/>
          <w:bCs w:val="0"/>
          <w:highlight w:val="none"/>
        </w:rPr>
      </w:pPr>
      <w:r/>
      <w:bookmarkStart w:id="210" w:name="_Toc513029233"/>
      <w:r/>
      <w:bookmarkStart w:id="211" w:name="_Toc16938549"/>
      <w:r/>
      <w:bookmarkStart w:id="212" w:name="_Toc20823305"/>
      <w:r>
        <w:rPr>
          <w:rFonts w:hint="eastAsia" w:ascii="Times New Roman" w:hAnsi="Times New Roman"/>
          <w:b w:val="0"/>
          <w:bCs w:val="0"/>
          <w:highlight w:val="none"/>
        </w:rPr>
        <w:t xml:space="preserve">26、对投标文件的初审</w:t>
      </w:r>
      <w:bookmarkEnd w:id="210"/>
      <w:r/>
      <w:bookmarkEnd w:id="211"/>
      <w:r/>
      <w:bookmarkEnd w:id="212"/>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rPr>
          <w:rFonts w:hint="eastAsia"/>
          <w:sz w:val="24"/>
          <w:highlight w:val="none"/>
        </w:rPr>
        <w:t xml:space="preserve">26.1</w:t>
      </w:r>
      <w:r>
        <w:rPr>
          <w:rFonts w:hint="eastAsia"/>
          <w:bCs/>
          <w:sz w:val="24"/>
          <w:highlight w:val="none"/>
        </w:rPr>
        <w:t xml:space="preserve">投标文件初审分为资格审查和符合性审查。</w:t>
      </w:r>
      <w:r>
        <w:rPr>
          <w:rFonts w:hint="eastAsia"/>
          <w:bCs/>
          <w:sz w:val="24"/>
          <w:highlight w:val="none"/>
        </w:rPr>
      </w:r>
      <w:r/>
    </w:p>
    <w:p>
      <w:pPr>
        <w:pStyle w:val="664"/>
        <w:ind w:firstLine="480"/>
        <w:spacing w:line="560" w:lineRule="exact"/>
        <w:rPr>
          <w:rFonts w:hint="eastAsia"/>
          <w:sz w:val="24"/>
          <w:highlight w:val="none"/>
        </w:rPr>
      </w:pPr>
      <w:r>
        <w:rPr>
          <w:rFonts w:hint="eastAsia"/>
          <w:bCs/>
          <w:sz w:val="24"/>
          <w:highlight w:val="none"/>
        </w:rPr>
        <w:t xml:space="preserve">26.1.1 资格审查：依据法律法规和招标文件的规定，</w:t>
      </w:r>
      <w:r>
        <w:rPr>
          <w:rFonts w:hint="eastAsia"/>
          <w:sz w:val="24"/>
          <w:highlight w:val="none"/>
        </w:rPr>
        <w:t xml:space="preserve">由采购人或其委托的代理机构对投标文件中的资格证明文件进行审查，以确定投标人是否具备投标资格。</w:t>
      </w:r>
      <w:r>
        <w:rPr>
          <w:rFonts w:hint="eastAsia"/>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bCs/>
          <w:sz w:val="24"/>
          <w:highlight w:val="none"/>
        </w:rPr>
      </w:r>
      <w:r/>
    </w:p>
    <w:p>
      <w:pPr>
        <w:pStyle w:val="664"/>
        <w:ind w:firstLine="480"/>
        <w:spacing w:line="560" w:lineRule="exact"/>
        <w:rPr>
          <w:sz w:val="24"/>
          <w:highlight w:val="none"/>
        </w:rPr>
      </w:pPr>
      <w:r>
        <w:rPr>
          <w:rFonts w:hint="eastAsia"/>
          <w:sz w:val="24"/>
          <w:highlight w:val="none"/>
        </w:rPr>
        <w:t xml:space="preserve">26.1.3对各投标人符合性审查过程中，对初步被认定为无效投标者，由评委会组长或采购人代表将集体意见通过</w:t>
      </w:r>
      <w:r>
        <w:rPr>
          <w:rFonts w:hint="eastAsia"/>
          <w:sz w:val="24"/>
          <w:highlight w:val="none"/>
          <w:lang w:val="zh-CN"/>
        </w:rPr>
        <w:t xml:space="preserve">“苏采云”系统中告知未通过符合性审查的原因，评标结束后，将不再告知未通过符合性审查的原因</w:t>
      </w:r>
      <w:r>
        <w:rPr>
          <w:rFonts w:hint="eastAsia"/>
          <w:sz w:val="24"/>
          <w:highlight w:val="none"/>
        </w:rPr>
        <w:t xml:space="preserve">。</w:t>
      </w:r>
      <w:r>
        <w:rPr>
          <w:sz w:val="24"/>
          <w:highlight w:val="none"/>
        </w:rPr>
      </w:r>
      <w:r/>
    </w:p>
    <w:p>
      <w:pPr>
        <w:pStyle w:val="664"/>
        <w:ind w:firstLine="480"/>
        <w:spacing w:line="560" w:lineRule="exact"/>
        <w:rPr>
          <w:rFonts w:hint="eastAsia"/>
          <w:sz w:val="24"/>
          <w:highlight w:val="none"/>
        </w:rPr>
      </w:pPr>
      <w:r>
        <w:rPr>
          <w:rFonts w:hint="eastAsia"/>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highlight w:val="none"/>
        </w:rPr>
      </w:r>
      <w:r/>
    </w:p>
    <w:p>
      <w:pPr>
        <w:pStyle w:val="664"/>
        <w:ind w:firstLine="480"/>
        <w:spacing w:line="560" w:lineRule="exact"/>
        <w:rPr>
          <w:rFonts w:hint="eastAsia"/>
          <w:sz w:val="24"/>
          <w:highlight w:val="none"/>
        </w:rPr>
      </w:pPr>
      <w:r>
        <w:rPr>
          <w:rFonts w:hint="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highlight w:val="none"/>
        </w:rPr>
      </w:r>
      <w:r/>
    </w:p>
    <w:p>
      <w:pPr>
        <w:pStyle w:val="664"/>
        <w:ind w:firstLine="480"/>
        <w:spacing w:line="560" w:lineRule="exact"/>
        <w:rPr>
          <w:sz w:val="24"/>
          <w:highlight w:val="none"/>
        </w:rPr>
      </w:pPr>
      <w:r>
        <w:rPr>
          <w:rFonts w:hint="eastAsia"/>
          <w:sz w:val="24"/>
          <w:highlight w:val="none"/>
        </w:rPr>
        <w:t xml:space="preserve">26.3如果投标文件实质上没有响应招标文件的要求，评委会将予以拒绝，投标人不得通过修改或撤销不合要求的偏离或保留而使其投标成为实质性响应的投标。</w:t>
      </w:r>
      <w:r>
        <w:rPr>
          <w:sz w:val="24"/>
          <w:highlight w:val="none"/>
        </w:rPr>
      </w:r>
      <w:r/>
    </w:p>
    <w:p>
      <w:pPr>
        <w:pStyle w:val="664"/>
        <w:ind w:firstLine="480"/>
        <w:spacing w:line="560" w:lineRule="exact"/>
        <w:rPr>
          <w:rFonts w:hint="eastAsia"/>
          <w:bCs/>
          <w:sz w:val="24"/>
          <w:highlight w:val="none"/>
        </w:rPr>
      </w:pPr>
      <w:r>
        <w:rPr>
          <w:rFonts w:hint="eastAsia"/>
          <w:sz w:val="24"/>
          <w:highlight w:val="none"/>
        </w:rPr>
        <w:t xml:space="preserve">26.</w:t>
      </w:r>
      <w:r>
        <w:rPr>
          <w:sz w:val="24"/>
          <w:highlight w:val="none"/>
        </w:rPr>
        <w:t xml:space="preserve">4</w:t>
      </w:r>
      <w:r>
        <w:rPr>
          <w:rFonts w:hint="eastAsia"/>
          <w:bCs/>
          <w:sz w:val="24"/>
          <w:highlight w:val="none"/>
        </w:rPr>
        <w:t xml:space="preserve">评委会将对确定为实质性响应的投标进行进一步审核，确定其是否有计算上或累加上的算术错误，修正错误的原则如下：</w:t>
      </w:r>
      <w:r>
        <w:rPr>
          <w:rFonts w:hint="eastAsia"/>
          <w:bCs/>
          <w:sz w:val="24"/>
          <w:highlight w:val="none"/>
        </w:rPr>
      </w:r>
      <w:r/>
    </w:p>
    <w:p>
      <w:pPr>
        <w:pStyle w:val="664"/>
        <w:ind w:firstLine="480"/>
        <w:spacing w:line="560" w:lineRule="exact"/>
        <w:rPr>
          <w:bCs/>
          <w:sz w:val="24"/>
          <w:highlight w:val="none"/>
        </w:rPr>
      </w:pPr>
      <w:r>
        <w:rPr>
          <w:rFonts w:hint="eastAsia"/>
          <w:bCs/>
          <w:sz w:val="24"/>
          <w:highlight w:val="none"/>
        </w:rPr>
        <w:t xml:space="preserve">（1）投标文件中开标一览表内容与投标文件中相应内容不一致的，以开标一览表为准。</w:t>
      </w:r>
      <w:r>
        <w:rPr>
          <w:bCs/>
          <w:sz w:val="24"/>
          <w:highlight w:val="none"/>
        </w:rPr>
      </w:r>
      <w:r/>
    </w:p>
    <w:p>
      <w:pPr>
        <w:pStyle w:val="664"/>
        <w:ind w:firstLine="480"/>
        <w:spacing w:line="560" w:lineRule="exact"/>
        <w:rPr>
          <w:bCs/>
          <w:sz w:val="24"/>
          <w:highlight w:val="none"/>
        </w:rPr>
      </w:pPr>
      <w:r>
        <w:rPr>
          <w:rFonts w:hint="eastAsia"/>
          <w:bCs/>
          <w:sz w:val="24"/>
          <w:highlight w:val="none"/>
        </w:rPr>
        <w:t xml:space="preserve">（2）大写金额和小写金额不一致的，以大写金额为准。</w:t>
      </w:r>
      <w:r>
        <w:rPr>
          <w:bCs/>
          <w:sz w:val="24"/>
          <w:highlight w:val="none"/>
        </w:rPr>
      </w:r>
      <w:r/>
    </w:p>
    <w:p>
      <w:pPr>
        <w:pStyle w:val="664"/>
        <w:ind w:firstLine="480"/>
        <w:spacing w:line="560" w:lineRule="exact"/>
        <w:rPr>
          <w:bCs/>
          <w:sz w:val="24"/>
          <w:highlight w:val="none"/>
        </w:rPr>
      </w:pPr>
      <w:r>
        <w:rPr>
          <w:rFonts w:hint="eastAsia"/>
          <w:bCs/>
          <w:sz w:val="24"/>
          <w:highlight w:val="none"/>
        </w:rPr>
        <w:t xml:space="preserve">（3）单价金额小数点或者百分比有明显错位的，以开标一览表的总价为准，并修改单价。</w:t>
      </w:r>
      <w:r>
        <w:rPr>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（4）总价金额与按单价汇总金额不一致的，以单价金额计算结果为准。</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同时出现两种以上错误的，按照前款规定的顺序修正。</w:t>
      </w:r>
      <w:r>
        <w:rPr>
          <w:rFonts w:hint="eastAsia"/>
          <w:bCs/>
          <w:sz w:val="24"/>
          <w:highlight w:val="none"/>
        </w:rPr>
      </w:r>
      <w:r/>
    </w:p>
    <w:p>
      <w:pPr>
        <w:pStyle w:val="664"/>
        <w:ind w:firstLine="480"/>
        <w:spacing w:line="560" w:lineRule="exact"/>
        <w:rPr>
          <w:rFonts w:hint="eastAsia"/>
          <w:bCs/>
          <w:sz w:val="24"/>
          <w:highlight w:val="none"/>
        </w:rPr>
      </w:pPr>
      <w:r>
        <w:rPr>
          <w:rFonts w:hint="eastAsia"/>
          <w:sz w:val="24"/>
          <w:highlight w:val="none"/>
        </w:rPr>
        <w:t xml:space="preserve">26.</w:t>
      </w:r>
      <w:r>
        <w:rPr>
          <w:sz w:val="24"/>
          <w:highlight w:val="none"/>
        </w:rPr>
        <w:t xml:space="preserve">5</w:t>
      </w:r>
      <w:r>
        <w:rPr>
          <w:rFonts w:hint="eastAsia"/>
          <w:sz w:val="24"/>
          <w:highlight w:val="none"/>
        </w:rPr>
        <w:t xml:space="preserve"> </w:t>
      </w:r>
      <w:r>
        <w:rPr>
          <w:rFonts w:hint="eastAsia"/>
          <w:bCs/>
          <w:sz w:val="24"/>
          <w:highlight w:val="none"/>
        </w:rPr>
        <w:t xml:space="preserve">评委会将按上述修正错误的方法调整投标文件中的投标报价，并</w:t>
      </w:r>
      <w:r>
        <w:rPr>
          <w:bCs/>
          <w:sz w:val="24"/>
          <w:highlight w:val="none"/>
        </w:rPr>
        <w:t xml:space="preserve">通过</w:t>
      </w:r>
      <w:r>
        <w:rPr>
          <w:rFonts w:hint="eastAsia"/>
          <w:sz w:val="24"/>
          <w:szCs w:val="24"/>
          <w:highlight w:val="none"/>
        </w:rPr>
        <w:t xml:space="preserve">“苏采云”系统</w:t>
      </w:r>
      <w:r>
        <w:rPr>
          <w:rFonts w:hint="eastAsia"/>
          <w:bCs/>
          <w:sz w:val="24"/>
          <w:highlight w:val="none"/>
        </w:rPr>
        <w:t xml:space="preserve">告知</w:t>
      </w:r>
      <w:r>
        <w:rPr>
          <w:bCs/>
          <w:sz w:val="24"/>
          <w:highlight w:val="none"/>
        </w:rPr>
        <w:t xml:space="preserve">投标人，</w:t>
      </w:r>
      <w:r>
        <w:rPr>
          <w:rFonts w:hint="eastAsia"/>
          <w:bCs/>
          <w:sz w:val="24"/>
          <w:highlight w:val="none"/>
        </w:rPr>
        <w:t xml:space="preserve">调整后的价格应对投标人具有约束力。如果投标人不接受修正后的价格，则其投标将被拒绝。</w:t>
      </w:r>
      <w:r>
        <w:rPr>
          <w:rFonts w:hint="eastAsia"/>
          <w:bCs/>
          <w:sz w:val="24"/>
          <w:highlight w:val="none"/>
        </w:rPr>
      </w:r>
      <w:r/>
    </w:p>
    <w:p>
      <w:pPr>
        <w:pStyle w:val="664"/>
        <w:ind w:firstLine="480"/>
        <w:spacing w:line="480" w:lineRule="exact"/>
        <w:rPr>
          <w:rFonts w:hint="eastAsia" w:cs="仿宋"/>
          <w:sz w:val="24"/>
          <w:highlight w:val="none"/>
        </w:rPr>
      </w:pPr>
      <w:r>
        <w:rPr>
          <w:rFonts w:hint="eastAsia" w:cs="仿宋"/>
          <w:sz w:val="24"/>
          <w:highlight w:val="none"/>
        </w:rPr>
        <w:t xml:space="preserve">评标过程中，不得去掉报价中的最高报价和最低报价。</w:t>
      </w:r>
      <w:r>
        <w:rPr>
          <w:rFonts w:hint="eastAsia" w:cs="仿宋"/>
          <w:sz w:val="24"/>
          <w:highlight w:val="none"/>
        </w:rPr>
      </w:r>
      <w:r/>
    </w:p>
    <w:p>
      <w:pPr>
        <w:pStyle w:val="664"/>
        <w:ind w:firstLine="480"/>
        <w:spacing w:line="480" w:lineRule="exact"/>
        <w:rPr>
          <w:rFonts w:cs="仿宋"/>
          <w:sz w:val="24"/>
          <w:highlight w:val="none"/>
        </w:rPr>
      </w:pPr>
      <w:r>
        <w:rPr>
          <w:rFonts w:hint="eastAsia" w:cs="仿宋"/>
          <w:sz w:val="24"/>
          <w:highlight w:val="none"/>
        </w:rPr>
        <w:t xml:space="preserve">26.6异常低价投标审查</w:t>
      </w:r>
      <w:r>
        <w:rPr>
          <w:rFonts w:cs="仿宋"/>
          <w:sz w:val="24"/>
          <w:highlight w:val="none"/>
        </w:rPr>
      </w:r>
      <w:r/>
    </w:p>
    <w:p>
      <w:pPr>
        <w:pStyle w:val="664"/>
        <w:ind w:firstLine="480"/>
        <w:spacing w:line="480" w:lineRule="exact"/>
        <w:rPr>
          <w:rFonts w:hint="eastAsia" w:cs="仿宋"/>
          <w:sz w:val="24"/>
          <w:highlight w:val="none"/>
        </w:rPr>
      </w:pPr>
      <w:r>
        <w:rPr>
          <w:rFonts w:hint="eastAsia" w:cs="仿宋"/>
          <w:sz w:val="24"/>
          <w:highlight w:val="none"/>
        </w:rPr>
        <w:t xml:space="preserve">26.6.1评标过程中出现下列情形之一的，评标委员会应当启动异常低价投标审查程序：</w:t>
      </w:r>
      <w:r>
        <w:rPr>
          <w:rFonts w:hint="eastAsia" w:cs="仿宋"/>
          <w:sz w:val="24"/>
          <w:highlight w:val="none"/>
        </w:rPr>
      </w:r>
      <w:r/>
    </w:p>
    <w:p>
      <w:pPr>
        <w:pStyle w:val="664"/>
        <w:ind w:firstLine="480"/>
        <w:spacing w:line="480" w:lineRule="exact"/>
        <w:rPr>
          <w:rFonts w:hint="eastAsia" w:cs="仿宋"/>
          <w:sz w:val="24"/>
          <w:highlight w:val="none"/>
        </w:rPr>
      </w:pPr>
      <w:r>
        <w:rPr>
          <w:rFonts w:hint="eastAsia" w:cs="仿宋"/>
          <w:sz w:val="24"/>
          <w:highlight w:val="none"/>
        </w:rPr>
        <w:t xml:space="preserve">（1）投标报价低于采购项目预算50%的，即投标报价＜采购项目预算×50%；</w:t>
      </w:r>
      <w:r>
        <w:rPr>
          <w:rFonts w:hint="eastAsia" w:cs="仿宋"/>
          <w:sz w:val="24"/>
          <w:highlight w:val="none"/>
        </w:rPr>
      </w:r>
      <w:r/>
    </w:p>
    <w:p>
      <w:pPr>
        <w:pStyle w:val="664"/>
        <w:ind w:firstLine="480"/>
        <w:spacing w:line="480" w:lineRule="exact"/>
        <w:rPr>
          <w:rFonts w:hint="eastAsia" w:cs="仿宋"/>
          <w:sz w:val="24"/>
          <w:highlight w:val="none"/>
        </w:rPr>
      </w:pPr>
      <w:r>
        <w:rPr>
          <w:rFonts w:hint="eastAsia" w:cs="仿宋"/>
          <w:sz w:val="24"/>
          <w:highlight w:val="none"/>
        </w:rPr>
        <w:t xml:space="preserve">（2）投标报价低于采购项目最高限价45%的，即投标报价＜采购项目最高限价×45%；</w:t>
      </w:r>
      <w:r>
        <w:rPr>
          <w:rFonts w:hint="eastAsia" w:cs="仿宋"/>
          <w:sz w:val="24"/>
          <w:highlight w:val="none"/>
        </w:rPr>
      </w:r>
      <w:r/>
    </w:p>
    <w:p>
      <w:pPr>
        <w:pStyle w:val="664"/>
        <w:ind w:firstLine="480"/>
        <w:spacing w:line="480" w:lineRule="exact"/>
        <w:rPr>
          <w:rFonts w:hint="eastAsia" w:cs="仿宋"/>
          <w:sz w:val="24"/>
          <w:highlight w:val="none"/>
        </w:rPr>
      </w:pPr>
      <w:r>
        <w:rPr>
          <w:rFonts w:hint="eastAsia" w:cs="仿宋"/>
          <w:sz w:val="24"/>
          <w:highlight w:val="none"/>
        </w:rPr>
        <w:t xml:space="preserve">（3）评标委员会认定的供应商报价过低（含明显低于其他通过符合性审查投标人的报价）、有可能影响产品质量或者不能诚信履约的其他情形。</w:t>
      </w:r>
      <w:r>
        <w:rPr>
          <w:rFonts w:hint="eastAsia" w:cs="仿宋"/>
          <w:sz w:val="24"/>
          <w:highlight w:val="none"/>
        </w:rPr>
      </w:r>
      <w:r/>
    </w:p>
    <w:p>
      <w:pPr>
        <w:pStyle w:val="664"/>
        <w:ind w:firstLine="480"/>
        <w:spacing w:line="480" w:lineRule="exact"/>
        <w:rPr>
          <w:rFonts w:hint="eastAsia"/>
          <w:bCs/>
          <w:sz w:val="24"/>
          <w:highlight w:val="none"/>
        </w:rPr>
      </w:pPr>
      <w:r>
        <w:rPr>
          <w:rFonts w:hint="eastAsia" w:cs="仿宋"/>
          <w:sz w:val="24"/>
          <w:highlight w:val="none"/>
        </w:rPr>
        <w:t xml:space="preserve">26.6.2启动异常低价投标审查后，评标委员会应当要求相关</w:t>
      </w:r>
      <w:r>
        <w:rPr>
          <w:rFonts w:hint="eastAsia" w:cs="仿宋"/>
          <w:sz w:val="24"/>
          <w:szCs w:val="24"/>
          <w:highlight w:val="none"/>
        </w:rPr>
        <w:t xml:space="preserve">投标人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w:t>
      </w:r>
      <w:r>
        <w:rPr>
          <w:rFonts w:hint="eastAsia" w:cs="仿宋"/>
          <w:sz w:val="24"/>
          <w:highlight w:val="none"/>
        </w:rPr>
        <w:t xml:space="preserve">评标委员会应当将其作为无效投标处理。审查相关情况应当在评标报告中进行记录。</w:t>
      </w:r>
      <w:r>
        <w:rPr>
          <w:rFonts w:hint="eastAsia"/>
          <w:bCs/>
          <w:sz w:val="24"/>
          <w:highlight w:val="none"/>
        </w:rPr>
      </w:r>
      <w:r/>
    </w:p>
    <w:p>
      <w:pPr>
        <w:pStyle w:val="664"/>
        <w:ind w:firstLine="480"/>
        <w:spacing w:line="560" w:lineRule="exact"/>
        <w:rPr>
          <w:sz w:val="24"/>
          <w:highlight w:val="none"/>
        </w:rPr>
      </w:pPr>
      <w:r>
        <w:rPr>
          <w:rFonts w:hint="eastAsia"/>
          <w:sz w:val="24"/>
          <w:highlight w:val="none"/>
        </w:rPr>
        <w:t xml:space="preserve">2</w:t>
      </w:r>
      <w:r>
        <w:rPr>
          <w:sz w:val="24"/>
          <w:highlight w:val="none"/>
        </w:rPr>
        <w:t xml:space="preserve">6</w:t>
      </w:r>
      <w:r>
        <w:rPr>
          <w:rFonts w:hint="eastAsia"/>
          <w:sz w:val="24"/>
          <w:highlight w:val="none"/>
        </w:rPr>
        <w:t xml:space="preserve">.7</w:t>
      </w:r>
      <w:r>
        <w:rPr>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highlight w:val="none"/>
        </w:rPr>
        <w:t xml:space="preserve">按照招标文件规定的方式（招标文件未规定的通过</w:t>
      </w:r>
      <w:r>
        <w:rPr>
          <w:sz w:val="24"/>
          <w:highlight w:val="none"/>
        </w:rPr>
        <w:t xml:space="preserve">随机抽取</w:t>
      </w:r>
      <w:r>
        <w:rPr>
          <w:rFonts w:hint="eastAsia"/>
          <w:sz w:val="24"/>
          <w:highlight w:val="none"/>
        </w:rPr>
        <w:t xml:space="preserve">的</w:t>
      </w:r>
      <w:r>
        <w:rPr>
          <w:sz w:val="24"/>
          <w:highlight w:val="none"/>
        </w:rPr>
        <w:t xml:space="preserve">方式</w:t>
      </w:r>
      <w:r>
        <w:rPr>
          <w:rFonts w:hint="eastAsia"/>
          <w:sz w:val="24"/>
          <w:highlight w:val="none"/>
        </w:rPr>
        <w:t xml:space="preserve">）</w:t>
      </w:r>
      <w:r>
        <w:rPr>
          <w:sz w:val="24"/>
          <w:highlight w:val="none"/>
        </w:rPr>
        <w:t xml:space="preserve">确定一个参加评标的投标人，其他投标无效。</w:t>
      </w:r>
      <w:r>
        <w:rPr>
          <w:sz w:val="24"/>
          <w:highlight w:val="none"/>
        </w:rPr>
      </w:r>
      <w:r/>
    </w:p>
    <w:p>
      <w:pPr>
        <w:pStyle w:val="664"/>
        <w:ind w:firstLine="480"/>
        <w:spacing w:line="560" w:lineRule="exact"/>
        <w:rPr>
          <w:sz w:val="24"/>
          <w:highlight w:val="none"/>
        </w:rPr>
      </w:pPr>
      <w:r>
        <w:rPr>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highlight w:val="none"/>
        </w:rPr>
        <w:t xml:space="preserve">根据招标文件规定的方式（招标文件未规定的采取随机抽取的方式）</w:t>
      </w:r>
      <w:r>
        <w:rPr>
          <w:sz w:val="24"/>
          <w:highlight w:val="none"/>
        </w:rPr>
        <w:t xml:space="preserve">确定</w:t>
      </w:r>
      <w:r>
        <w:rPr>
          <w:rFonts w:hint="eastAsia"/>
          <w:sz w:val="24"/>
          <w:highlight w:val="none"/>
        </w:rPr>
        <w:t xml:space="preserve">一个中标候选人</w:t>
      </w:r>
      <w:r>
        <w:rPr>
          <w:sz w:val="24"/>
          <w:highlight w:val="none"/>
        </w:rPr>
        <w:t xml:space="preserve">，其他同品牌投标人不作为中标候选人。</w:t>
      </w:r>
      <w:r>
        <w:rPr>
          <w:sz w:val="24"/>
          <w:highlight w:val="none"/>
        </w:rPr>
      </w:r>
      <w:r/>
    </w:p>
    <w:p>
      <w:pPr>
        <w:pStyle w:val="664"/>
        <w:ind w:firstLine="420"/>
        <w:spacing w:line="560" w:lineRule="exact"/>
        <w:rPr>
          <w:rFonts w:hint="eastAsia"/>
          <w:bCs/>
          <w:sz w:val="24"/>
          <w:highlight w:val="none"/>
        </w:rPr>
      </w:pPr>
      <w:r>
        <w:rPr>
          <w:sz w:val="24"/>
          <w:highlight w:val="none"/>
        </w:rPr>
        <w:t xml:space="preserve">非单一产品采购项目，招标文件中</w:t>
      </w:r>
      <w:r>
        <w:rPr>
          <w:rFonts w:hint="eastAsia"/>
          <w:sz w:val="24"/>
          <w:highlight w:val="none"/>
        </w:rPr>
        <w:t xml:space="preserve">将载明其中的核心产品</w:t>
      </w:r>
      <w:r>
        <w:rPr>
          <w:sz w:val="24"/>
          <w:highlight w:val="none"/>
        </w:rPr>
        <w:t xml:space="preserve">。多家投标人提供的核心产品品牌相同的，按前两款规定处理。</w:t>
      </w:r>
      <w:r>
        <w:rPr>
          <w:rFonts w:hint="eastAsia"/>
          <w:bCs/>
          <w:sz w:val="24"/>
          <w:highlight w:val="none"/>
        </w:rPr>
      </w:r>
      <w:r/>
    </w:p>
    <w:p>
      <w:pPr>
        <w:pStyle w:val="664"/>
        <w:ind w:firstLine="420"/>
        <w:spacing w:line="560" w:lineRule="exact"/>
        <w:rPr>
          <w:rFonts w:hint="eastAsia"/>
          <w:sz w:val="24"/>
          <w:highlight w:val="none"/>
        </w:rPr>
      </w:pPr>
      <w:r/>
      <w:bookmarkStart w:id="213" w:name="_Toc20823306"/>
      <w:r/>
      <w:bookmarkStart w:id="214" w:name="_Toc16938550"/>
      <w:r/>
      <w:bookmarkStart w:id="215" w:name="_Toc513029234"/>
      <w:r>
        <w:rPr>
          <w:rFonts w:hint="eastAsia"/>
          <w:sz w:val="24"/>
          <w:highlight w:val="none"/>
        </w:rPr>
        <w:t xml:space="preserve">26.8投标人在开、评标全过程中应</w:t>
      </w:r>
      <w:r>
        <w:rPr>
          <w:rFonts w:hint="eastAsia" w:eastAsia="仿宋"/>
          <w:sz w:val="24"/>
          <w:highlight w:val="none"/>
        </w:rPr>
        <w:t xml:space="preserve">随时保持系统在线</w:t>
      </w:r>
      <w:r>
        <w:rPr>
          <w:rFonts w:hint="eastAsia"/>
          <w:sz w:val="24"/>
          <w:highlight w:val="none"/>
        </w:rPr>
        <w:t xml:space="preserve">，及时在</w:t>
      </w:r>
      <w:r>
        <w:rPr>
          <w:rFonts w:hint="eastAsia"/>
          <w:sz w:val="24"/>
          <w:szCs w:val="24"/>
          <w:highlight w:val="none"/>
        </w:rPr>
        <w:t xml:space="preserve">“苏采云”系统</w:t>
      </w:r>
      <w:r>
        <w:rPr>
          <w:rFonts w:hint="eastAsia"/>
          <w:sz w:val="24"/>
          <w:highlight w:val="none"/>
        </w:rPr>
        <w:t xml:space="preserve">查阅</w:t>
      </w:r>
      <w:r>
        <w:rPr>
          <w:sz w:val="24"/>
          <w:highlight w:val="none"/>
        </w:rPr>
        <w:t xml:space="preserve">、答复相关</w:t>
      </w:r>
      <w:r>
        <w:rPr>
          <w:rFonts w:hint="eastAsia"/>
          <w:sz w:val="24"/>
          <w:highlight w:val="none"/>
        </w:rPr>
        <w:t xml:space="preserve">信息。</w:t>
      </w:r>
      <w:r>
        <w:rPr>
          <w:rFonts w:hint="eastAsia"/>
          <w:sz w:val="24"/>
          <w:highlight w:val="none"/>
        </w:rPr>
      </w:r>
      <w:r/>
    </w:p>
    <w:p>
      <w:pPr>
        <w:pStyle w:val="668"/>
        <w:ind w:firstLine="420"/>
        <w:spacing w:before="0" w:after="0" w:line="560" w:lineRule="exact"/>
        <w:rPr>
          <w:rFonts w:hint="eastAsia" w:ascii="Times New Roman" w:hAnsi="Times New Roman"/>
          <w:b w:val="0"/>
          <w:bCs w:val="0"/>
          <w:highlight w:val="none"/>
        </w:rPr>
      </w:pPr>
      <w:r>
        <w:rPr>
          <w:rFonts w:hint="eastAsia" w:ascii="Times New Roman" w:hAnsi="Times New Roman"/>
          <w:b w:val="0"/>
          <w:bCs w:val="0"/>
          <w:highlight w:val="none"/>
        </w:rPr>
        <w:t xml:space="preserve">27、</w:t>
      </w:r>
      <w:bookmarkEnd w:id="213"/>
      <w:r/>
      <w:bookmarkEnd w:id="214"/>
      <w:r/>
      <w:bookmarkEnd w:id="215"/>
      <w:r>
        <w:rPr>
          <w:rFonts w:hint="eastAsia" w:ascii="Times New Roman" w:hAnsi="Times New Roman"/>
          <w:b w:val="0"/>
          <w:bCs w:val="0"/>
          <w:highlight w:val="none"/>
        </w:rPr>
        <w:t xml:space="preserve">无效投标条款和废标条款</w:t>
      </w:r>
      <w:r>
        <w:rPr>
          <w:rFonts w:hint="eastAsia" w:ascii="Times New Roman" w:hAnsi="Times New Roman"/>
          <w:b w:val="0"/>
          <w:bCs w:val="0"/>
          <w:highlight w:val="none"/>
        </w:rPr>
      </w:r>
      <w:r/>
    </w:p>
    <w:p>
      <w:pPr>
        <w:pStyle w:val="664"/>
        <w:ind w:firstLine="480"/>
        <w:spacing w:line="560" w:lineRule="exact"/>
        <w:rPr>
          <w:rFonts w:hint="eastAsia"/>
          <w:bCs/>
          <w:sz w:val="24"/>
          <w:highlight w:val="none"/>
        </w:rPr>
      </w:pPr>
      <w:r/>
      <w:bookmarkStart w:id="216" w:name="_Toc20823307"/>
      <w:r/>
      <w:bookmarkStart w:id="217" w:name="_Toc16938551"/>
      <w:r/>
      <w:bookmarkStart w:id="218" w:name="_Toc513029235"/>
      <w:r>
        <w:rPr>
          <w:rFonts w:hint="eastAsia"/>
          <w:bCs/>
          <w:sz w:val="24"/>
          <w:highlight w:val="none"/>
        </w:rPr>
        <w:t xml:space="preserve">27.1无效投标条款</w:t>
      </w:r>
      <w:r>
        <w:rPr>
          <w:rFonts w:hint="eastAsia"/>
          <w:bCs/>
          <w:sz w:val="24"/>
          <w:highlight w:val="none"/>
        </w:rPr>
      </w:r>
      <w:r/>
    </w:p>
    <w:p>
      <w:pPr>
        <w:pStyle w:val="664"/>
        <w:ind w:firstLine="480"/>
        <w:spacing w:line="560" w:lineRule="exact"/>
        <w:rPr>
          <w:rFonts w:hint="eastAsia"/>
          <w:bCs/>
          <w:color w:val="000000"/>
          <w:sz w:val="24"/>
          <w:szCs w:val="24"/>
          <w:highlight w:val="none"/>
        </w:rPr>
      </w:pPr>
      <w:r>
        <w:rPr>
          <w:rFonts w:hint="eastAsia"/>
          <w:bCs/>
          <w:sz w:val="24"/>
          <w:highlight w:val="none"/>
        </w:rPr>
        <w:t xml:space="preserve">27</w:t>
      </w:r>
      <w:r>
        <w:rPr>
          <w:rFonts w:hint="eastAsia"/>
          <w:bCs/>
          <w:color w:val="000000"/>
          <w:sz w:val="24"/>
          <w:szCs w:val="24"/>
          <w:highlight w:val="none"/>
        </w:rPr>
        <w:t xml:space="preserve">.1.1 投标人在</w:t>
      </w:r>
      <w:r>
        <w:rPr>
          <w:rFonts w:hint="eastAsia"/>
          <w:color w:val="000000"/>
          <w:sz w:val="24"/>
          <w:szCs w:val="24"/>
          <w:highlight w:val="none"/>
        </w:rPr>
        <w:t xml:space="preserve">“苏采云”系统</w:t>
      </w:r>
      <w:r>
        <w:rPr>
          <w:rFonts w:hint="eastAsia"/>
          <w:bCs/>
          <w:color w:val="000000"/>
          <w:sz w:val="24"/>
          <w:szCs w:val="24"/>
          <w:highlight w:val="none"/>
        </w:rPr>
        <w:t xml:space="preserve">规定的时间内未成功解密电子投标文件的。</w:t>
      </w:r>
      <w:r>
        <w:rPr>
          <w:rFonts w:hint="eastAsia"/>
          <w:bCs/>
          <w:color w:val="000000"/>
          <w:sz w:val="24"/>
          <w:szCs w:val="24"/>
          <w:highlight w:val="none"/>
        </w:rPr>
      </w:r>
      <w:r/>
    </w:p>
    <w:p>
      <w:pPr>
        <w:pStyle w:val="664"/>
        <w:ind w:firstLine="480"/>
        <w:spacing w:line="560" w:lineRule="exact"/>
        <w:rPr>
          <w:rFonts w:hint="eastAsia"/>
          <w:bCs/>
          <w:color w:val="000000"/>
          <w:sz w:val="24"/>
          <w:highlight w:val="none"/>
        </w:rPr>
      </w:pPr>
      <w:r>
        <w:rPr>
          <w:rFonts w:hint="eastAsia"/>
          <w:bCs/>
          <w:color w:val="000000"/>
          <w:sz w:val="24"/>
          <w:highlight w:val="none"/>
        </w:rPr>
        <w:t xml:space="preserve">27.1.2 投标人未按照招标文件要求上传电子投标文件的。</w:t>
      </w:r>
      <w:r>
        <w:rPr>
          <w:rFonts w:hint="eastAsia"/>
          <w:bCs/>
          <w:color w:val="000000"/>
          <w:sz w:val="24"/>
          <w:highlight w:val="none"/>
        </w:rPr>
      </w:r>
      <w:r/>
    </w:p>
    <w:p>
      <w:pPr>
        <w:pStyle w:val="664"/>
        <w:ind w:firstLine="480"/>
        <w:spacing w:line="560" w:lineRule="exact"/>
        <w:rPr>
          <w:rFonts w:hint="eastAsia"/>
          <w:bCs/>
          <w:color w:val="000000"/>
          <w:sz w:val="24"/>
          <w:highlight w:val="none"/>
        </w:rPr>
      </w:pPr>
      <w:r>
        <w:rPr>
          <w:rFonts w:hint="eastAsia"/>
          <w:bCs/>
          <w:color w:val="000000"/>
          <w:sz w:val="24"/>
          <w:highlight w:val="none"/>
        </w:rPr>
        <w:t xml:space="preserve">27.1.3同一投标人提交两个（含两个）以上不同的投标报价的。</w:t>
      </w:r>
      <w:r>
        <w:rPr>
          <w:rFonts w:hint="eastAsia"/>
          <w:bCs/>
          <w:color w:val="000000"/>
          <w:sz w:val="24"/>
          <w:highlight w:val="none"/>
        </w:rPr>
      </w:r>
      <w:r/>
    </w:p>
    <w:p>
      <w:pPr>
        <w:pStyle w:val="664"/>
        <w:ind w:firstLine="480"/>
        <w:spacing w:line="560" w:lineRule="exact"/>
        <w:rPr>
          <w:rFonts w:hint="eastAsia"/>
          <w:bCs/>
          <w:color w:val="000000"/>
          <w:sz w:val="24"/>
          <w:highlight w:val="none"/>
        </w:rPr>
      </w:pPr>
      <w:r>
        <w:rPr>
          <w:rFonts w:hint="eastAsia"/>
          <w:bCs/>
          <w:color w:val="000000"/>
          <w:sz w:val="24"/>
          <w:highlight w:val="none"/>
        </w:rPr>
        <w:t xml:space="preserve">27.1.4投标人不具备招标文件中规定资格要求的。</w:t>
      </w:r>
      <w:r>
        <w:rPr>
          <w:rFonts w:hint="eastAsia"/>
          <w:bCs/>
          <w:color w:val="000000"/>
          <w:sz w:val="24"/>
          <w:highlight w:val="none"/>
        </w:rPr>
      </w:r>
      <w:r/>
    </w:p>
    <w:p>
      <w:pPr>
        <w:pStyle w:val="664"/>
        <w:ind w:firstLine="480"/>
        <w:spacing w:line="560" w:lineRule="exact"/>
        <w:rPr>
          <w:rFonts w:hint="eastAsia"/>
          <w:bCs/>
          <w:color w:val="000000"/>
          <w:sz w:val="24"/>
          <w:highlight w:val="none"/>
        </w:rPr>
      </w:pPr>
      <w:r>
        <w:rPr>
          <w:rFonts w:hint="eastAsia"/>
          <w:bCs/>
          <w:color w:val="000000"/>
          <w:sz w:val="24"/>
          <w:highlight w:val="none"/>
        </w:rPr>
        <w:t xml:space="preserve">27.1.5投标人的报价超过了采购预算或最高限价的。</w:t>
      </w:r>
      <w:r>
        <w:rPr>
          <w:rFonts w:hint="eastAsia"/>
          <w:bCs/>
          <w:color w:val="000000"/>
          <w:sz w:val="24"/>
          <w:highlight w:val="none"/>
        </w:rPr>
      </w:r>
      <w:r/>
    </w:p>
    <w:p>
      <w:pPr>
        <w:pStyle w:val="664"/>
        <w:ind w:firstLine="480"/>
        <w:spacing w:line="560" w:lineRule="exact"/>
        <w:rPr>
          <w:rFonts w:hint="eastAsia"/>
          <w:bCs/>
          <w:i/>
          <w:color w:val="000000"/>
          <w:sz w:val="24"/>
          <w:highlight w:val="none"/>
          <w:u w:val="single"/>
        </w:rPr>
      </w:pPr>
      <w:r>
        <w:rPr>
          <w:rFonts w:hint="eastAsia"/>
          <w:bCs/>
          <w:color w:val="000000"/>
          <w:sz w:val="24"/>
          <w:highlight w:val="none"/>
        </w:rPr>
        <w:t xml:space="preserve">27.1.6未通过符合性审查的。</w:t>
      </w:r>
      <w:r>
        <w:rPr>
          <w:rFonts w:hint="eastAsia"/>
          <w:bCs/>
          <w:i/>
          <w:color w:val="000000"/>
          <w:sz w:val="24"/>
          <w:highlight w:val="none"/>
          <w:u w:val="single"/>
        </w:rPr>
      </w:r>
      <w:r/>
    </w:p>
    <w:p>
      <w:pPr>
        <w:pStyle w:val="664"/>
        <w:ind w:firstLine="360"/>
        <w:spacing w:line="560" w:lineRule="exact"/>
        <w:rPr>
          <w:rFonts w:hint="eastAsia"/>
          <w:bCs/>
          <w:i/>
          <w:color w:val="000000"/>
          <w:sz w:val="24"/>
          <w:highlight w:val="none"/>
          <w:u w:val="single"/>
        </w:rPr>
      </w:pPr>
      <w:r>
        <w:rPr>
          <w:rFonts w:hint="eastAsia"/>
          <w:bCs/>
          <w:color w:val="000000"/>
          <w:sz w:val="24"/>
          <w:highlight w:val="none"/>
        </w:rPr>
        <w:t xml:space="preserve"> 27.1.7不符合招标文件中规定的实质性要求和条件的（</w:t>
      </w:r>
      <w:r>
        <w:rPr>
          <w:rFonts w:hint="eastAsia"/>
          <w:bCs/>
          <w:i/>
          <w:color w:val="000000"/>
          <w:sz w:val="24"/>
          <w:highlight w:val="none"/>
          <w:u w:val="single"/>
        </w:rPr>
        <w:t xml:space="preserve">加斜体下划线内容或打“★”内容为实质性要求和条件）。</w:t>
      </w:r>
      <w:r>
        <w:rPr>
          <w:rFonts w:hint="eastAsia"/>
          <w:bCs/>
          <w:i/>
          <w:color w:val="000000"/>
          <w:sz w:val="24"/>
          <w:highlight w:val="none"/>
          <w:u w:val="single"/>
        </w:rPr>
      </w:r>
      <w:r/>
    </w:p>
    <w:p>
      <w:pPr>
        <w:pStyle w:val="664"/>
        <w:ind w:firstLine="480"/>
        <w:spacing w:line="560" w:lineRule="exact"/>
        <w:rPr>
          <w:rFonts w:hint="eastAsia"/>
          <w:bCs/>
          <w:color w:val="000000"/>
          <w:sz w:val="24"/>
          <w:highlight w:val="none"/>
        </w:rPr>
      </w:pPr>
      <w:r>
        <w:rPr>
          <w:rFonts w:hint="eastAsia"/>
          <w:bCs/>
          <w:color w:val="000000"/>
          <w:sz w:val="24"/>
          <w:highlight w:val="none"/>
        </w:rPr>
        <w:t xml:space="preserve">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color w:val="000000"/>
          <w:sz w:val="24"/>
          <w:highlight w:val="none"/>
        </w:rPr>
      </w:r>
      <w:r/>
    </w:p>
    <w:p>
      <w:pPr>
        <w:pStyle w:val="664"/>
        <w:ind w:firstLine="480"/>
        <w:spacing w:line="560" w:lineRule="exact"/>
        <w:rPr>
          <w:rFonts w:hint="eastAsia"/>
          <w:bCs/>
          <w:color w:val="000000"/>
          <w:sz w:val="24"/>
          <w:highlight w:val="none"/>
        </w:rPr>
      </w:pPr>
      <w:r>
        <w:rPr>
          <w:rFonts w:hint="eastAsia"/>
          <w:bCs/>
          <w:color w:val="000000"/>
          <w:sz w:val="24"/>
          <w:highlight w:val="none"/>
        </w:rPr>
        <w:t xml:space="preserve">27.1.9 投标文件含有采购人不能接受的附加条件的。</w:t>
      </w:r>
      <w:r>
        <w:rPr>
          <w:rFonts w:hint="eastAsia"/>
          <w:bCs/>
          <w:color w:val="000000"/>
          <w:sz w:val="24"/>
          <w:highlight w:val="none"/>
        </w:rPr>
      </w:r>
      <w:r/>
    </w:p>
    <w:p>
      <w:pPr>
        <w:pStyle w:val="664"/>
        <w:ind w:firstLine="420"/>
        <w:spacing w:line="560" w:lineRule="exact"/>
        <w:rPr>
          <w:rFonts w:hint="eastAsia"/>
          <w:bCs/>
          <w:color w:val="000000"/>
          <w:sz w:val="24"/>
          <w:highlight w:val="none"/>
        </w:rPr>
      </w:pPr>
      <w:r>
        <w:rPr>
          <w:rFonts w:hint="eastAsia"/>
          <w:bCs/>
          <w:color w:val="000000"/>
          <w:sz w:val="24"/>
          <w:highlight w:val="none"/>
        </w:rPr>
        <w:t xml:space="preserve">27.1.10评标委员会启动异常低价投标审查后，投标人不提供书面说明、证明材料，或者评标委员会认为投标人提供的书面说明、证明材料不能证明其报价合理性的。</w:t>
      </w:r>
      <w:r>
        <w:rPr>
          <w:rFonts w:hint="eastAsia"/>
          <w:bCs/>
          <w:color w:val="000000"/>
          <w:sz w:val="24"/>
          <w:highlight w:val="none"/>
        </w:rPr>
      </w:r>
      <w:r/>
    </w:p>
    <w:p>
      <w:pPr>
        <w:pStyle w:val="664"/>
        <w:ind w:firstLine="420"/>
        <w:spacing w:line="560" w:lineRule="exact"/>
        <w:rPr>
          <w:rFonts w:hint="eastAsia"/>
          <w:strike/>
          <w:color w:val="000000"/>
          <w:highlight w:val="yellow"/>
        </w:rPr>
      </w:pPr>
      <w:r>
        <w:rPr>
          <w:rFonts w:hint="eastAsia"/>
          <w:color w:val="000000"/>
          <w:sz w:val="24"/>
          <w:highlight w:val="none"/>
          <w:lang w:val="zh-CN"/>
        </w:rPr>
        <w:t xml:space="preserve">2</w:t>
      </w:r>
      <w:r>
        <w:rPr>
          <w:rFonts w:hint="eastAsia"/>
          <w:color w:val="000000"/>
          <w:sz w:val="24"/>
          <w:highlight w:val="none"/>
        </w:rPr>
        <w:t xml:space="preserve">7</w:t>
      </w:r>
      <w:r>
        <w:rPr>
          <w:rFonts w:hint="eastAsia"/>
          <w:color w:val="000000"/>
          <w:sz w:val="24"/>
          <w:highlight w:val="none"/>
          <w:lang w:val="zh-CN"/>
        </w:rPr>
        <w:t xml:space="preserve">.1.11本项目采购产品被财政部、国家发改委、生态环境部等列入“节能产品品目清单”、“环境标志产品品目清单”强制采购范围，而</w:t>
      </w:r>
      <w:r>
        <w:rPr>
          <w:rFonts w:hint="eastAsia"/>
          <w:color w:val="000000"/>
          <w:sz w:val="24"/>
          <w:highlight w:val="none"/>
        </w:rPr>
        <w:t xml:space="preserve">投标人</w:t>
      </w:r>
      <w:r>
        <w:rPr>
          <w:rFonts w:hint="eastAsia"/>
          <w:color w:val="000000"/>
          <w:sz w:val="24"/>
          <w:highlight w:val="none"/>
          <w:lang w:val="zh-CN"/>
        </w:rPr>
        <w:t xml:space="preserve">所</w:t>
      </w:r>
      <w:r>
        <w:rPr>
          <w:rFonts w:hint="eastAsia"/>
          <w:color w:val="000000"/>
          <w:sz w:val="24"/>
          <w:highlight w:val="none"/>
        </w:rPr>
        <w:t xml:space="preserve">投</w:t>
      </w:r>
      <w:r>
        <w:rPr>
          <w:rFonts w:hint="eastAsia"/>
          <w:color w:val="000000"/>
          <w:sz w:val="24"/>
          <w:highlight w:val="none"/>
          <w:lang w:val="zh-CN"/>
        </w:rPr>
        <w:t xml:space="preserve">产品不在强制采购范围内的。</w:t>
      </w:r>
      <w:r>
        <w:rPr>
          <w:rFonts w:hint="eastAsia"/>
          <w:strike/>
          <w:color w:val="000000"/>
          <w:highlight w:val="yellow"/>
        </w:rPr>
      </w:r>
      <w:r/>
    </w:p>
    <w:p>
      <w:pPr>
        <w:pStyle w:val="664"/>
        <w:ind w:firstLine="480"/>
        <w:spacing w:line="560" w:lineRule="exact"/>
        <w:rPr>
          <w:rFonts w:hint="eastAsia"/>
          <w:bCs/>
          <w:color w:val="000000"/>
          <w:sz w:val="24"/>
          <w:highlight w:val="none"/>
        </w:rPr>
      </w:pPr>
      <w:r>
        <w:rPr>
          <w:rFonts w:hint="eastAsia"/>
          <w:bCs/>
          <w:color w:val="000000"/>
          <w:sz w:val="24"/>
          <w:highlight w:val="none"/>
        </w:rPr>
        <w:t xml:space="preserve">27.1.12 投标文件未按照招标文件要求加盖CA</w:t>
      </w:r>
      <w:r>
        <w:rPr>
          <w:bCs/>
          <w:color w:val="000000"/>
          <w:sz w:val="24"/>
          <w:highlight w:val="none"/>
        </w:rPr>
        <w:t xml:space="preserve">电子公章的</w:t>
      </w:r>
      <w:r>
        <w:rPr>
          <w:rFonts w:hint="eastAsia"/>
          <w:bCs/>
          <w:color w:val="000000"/>
          <w:sz w:val="24"/>
          <w:highlight w:val="none"/>
        </w:rPr>
        <w:t xml:space="preserve">。</w:t>
      </w:r>
      <w:r>
        <w:rPr>
          <w:rFonts w:hint="eastAsia"/>
          <w:bCs/>
          <w:color w:val="000000"/>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27.1.13其他法律、法规及本招标文件规定的属无效投标的</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27.2废标条款</w:t>
      </w:r>
      <w:r>
        <w:rPr>
          <w:rFonts w:hint="eastAsia"/>
          <w:bCs/>
          <w:sz w:val="24"/>
          <w:highlight w:val="none"/>
        </w:rPr>
      </w:r>
      <w:r/>
    </w:p>
    <w:p>
      <w:pPr>
        <w:pStyle w:val="664"/>
        <w:ind w:left="479"/>
        <w:spacing w:line="560" w:lineRule="exact"/>
        <w:rPr>
          <w:rFonts w:hint="eastAsia"/>
          <w:bCs/>
          <w:sz w:val="24"/>
          <w:highlight w:val="none"/>
        </w:rPr>
      </w:pPr>
      <w:r>
        <w:rPr>
          <w:rFonts w:hint="eastAsia"/>
          <w:bCs/>
          <w:sz w:val="24"/>
          <w:highlight w:val="none"/>
        </w:rPr>
        <w:t xml:space="preserve">27.2.1符合专业条件的投标人或者对招标文件作实质响应的投标人不足三家的。27.2.2出现影响采购公正的违法、违规行为的。</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27.2.3因重大变故，采购任务取消的。</w:t>
      </w:r>
      <w:r>
        <w:rPr>
          <w:rFonts w:hint="eastAsia"/>
          <w:bCs/>
          <w:sz w:val="24"/>
          <w:highlight w:val="none"/>
        </w:rPr>
      </w:r>
      <w:r/>
    </w:p>
    <w:p>
      <w:pPr>
        <w:pStyle w:val="664"/>
        <w:ind w:firstLine="480"/>
        <w:spacing w:line="560" w:lineRule="exact"/>
        <w:rPr>
          <w:bCs/>
          <w:sz w:val="24"/>
          <w:highlight w:val="none"/>
        </w:rPr>
      </w:pPr>
      <w:r>
        <w:rPr>
          <w:rFonts w:hint="eastAsia"/>
          <w:bCs/>
          <w:sz w:val="24"/>
          <w:highlight w:val="none"/>
        </w:rPr>
        <w:t xml:space="preserve">27.2.4评委会认定招标文件存在歧义、重大缺陷导致评审工作无法进行。</w:t>
      </w:r>
      <w:r>
        <w:rPr>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27.2.5 因</w:t>
      </w:r>
      <w:r>
        <w:rPr>
          <w:rFonts w:hint="eastAsia"/>
          <w:sz w:val="24"/>
          <w:szCs w:val="24"/>
          <w:highlight w:val="none"/>
        </w:rPr>
        <w:t xml:space="preserve">“苏采云”系统</w:t>
      </w:r>
      <w:r>
        <w:rPr>
          <w:bCs/>
          <w:sz w:val="24"/>
          <w:highlight w:val="none"/>
        </w:rPr>
        <w:t xml:space="preserve">系统故障原因造成开标不成功</w:t>
      </w:r>
      <w:r>
        <w:rPr>
          <w:rFonts w:hint="eastAsia"/>
          <w:bCs/>
          <w:sz w:val="24"/>
          <w:highlight w:val="none"/>
        </w:rPr>
        <w:t xml:space="preserve">的</w:t>
      </w:r>
      <w:r>
        <w:rPr>
          <w:bCs/>
          <w:sz w:val="24"/>
          <w:highlight w:val="none"/>
        </w:rPr>
        <w:t xml:space="preserve">。</w:t>
      </w:r>
      <w:r>
        <w:rPr>
          <w:rFonts w:hint="eastAsia"/>
          <w:bCs/>
          <w:sz w:val="24"/>
          <w:highlight w:val="none"/>
        </w:rPr>
      </w:r>
      <w:r/>
    </w:p>
    <w:p>
      <w:pPr>
        <w:pStyle w:val="664"/>
        <w:ind w:firstLine="240"/>
        <w:spacing w:line="560" w:lineRule="exact"/>
        <w:rPr>
          <w:rFonts w:hint="eastAsia"/>
          <w:bCs/>
          <w:sz w:val="24"/>
          <w:highlight w:val="none"/>
        </w:rPr>
      </w:pPr>
      <w:r>
        <w:rPr>
          <w:rFonts w:hint="eastAsia"/>
          <w:bCs/>
          <w:sz w:val="24"/>
          <w:highlight w:val="none"/>
        </w:rPr>
        <w:t xml:space="preserve">27.3 投标截止时间结束后参加投标的投标人不足三家的处理：</w:t>
      </w:r>
      <w:r>
        <w:rPr>
          <w:rFonts w:hint="eastAsia"/>
          <w:bCs/>
          <w:sz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27.3.1如出现投标截止时间结束后参加投标的投标人或者在评标期间对招标文件做出实质响应的投标人不足三家情况，按政府采购相关规定执行。</w:t>
      </w:r>
      <w:r>
        <w:rPr>
          <w:rFonts w:hint="eastAsia"/>
          <w:bCs/>
          <w:sz w:val="24"/>
          <w:highlight w:val="none"/>
        </w:rPr>
      </w:r>
      <w:r/>
    </w:p>
    <w:p>
      <w:pPr>
        <w:pStyle w:val="667"/>
        <w:ind w:firstLine="482"/>
        <w:spacing w:before="0" w:after="0" w:line="560" w:lineRule="exact"/>
        <w:rPr>
          <w:rFonts w:hint="eastAsia"/>
          <w:highlight w:val="none"/>
        </w:rPr>
      </w:pPr>
      <w:r/>
      <w:bookmarkStart w:id="219" w:name="_Toc4439"/>
      <w:r/>
      <w:bookmarkStart w:id="220" w:name="_Toc120614219"/>
      <w:r/>
      <w:bookmarkStart w:id="221" w:name="_Toc25485"/>
      <w:r/>
      <w:bookmarkStart w:id="222" w:name="_Toc15737"/>
      <w:r>
        <w:rPr>
          <w:rFonts w:hint="eastAsia"/>
          <w:highlight w:val="none"/>
        </w:rPr>
        <w:t xml:space="preserve">六、</w:t>
      </w:r>
      <w:bookmarkEnd w:id="216"/>
      <w:r/>
      <w:bookmarkEnd w:id="217"/>
      <w:r/>
      <w:bookmarkEnd w:id="218"/>
      <w:r>
        <w:rPr>
          <w:rFonts w:hint="eastAsia"/>
          <w:highlight w:val="none"/>
        </w:rPr>
        <w:t xml:space="preserve">定标</w:t>
      </w:r>
      <w:bookmarkEnd w:id="219"/>
      <w:r/>
      <w:bookmarkEnd w:id="220"/>
      <w:r/>
      <w:bookmarkEnd w:id="221"/>
      <w:r/>
      <w:bookmarkEnd w:id="222"/>
      <w:r>
        <w:rPr>
          <w:rFonts w:hint="eastAsia"/>
          <w:highlight w:val="none"/>
        </w:rPr>
      </w:r>
      <w:r/>
    </w:p>
    <w:p>
      <w:pPr>
        <w:pStyle w:val="668"/>
        <w:ind w:firstLine="600"/>
        <w:spacing w:before="0" w:after="0" w:line="560" w:lineRule="exact"/>
        <w:rPr>
          <w:rFonts w:hint="eastAsia" w:ascii="Times New Roman" w:hAnsi="Times New Roman" w:cs="Times New Roman"/>
          <w:b w:val="0"/>
          <w:sz w:val="30"/>
          <w:szCs w:val="30"/>
          <w:highlight w:val="none"/>
        </w:rPr>
      </w:pPr>
      <w:r/>
      <w:bookmarkStart w:id="223" w:name="_Toc513029238"/>
      <w:r/>
      <w:bookmarkStart w:id="224" w:name="_Toc16938554"/>
      <w:r/>
      <w:bookmarkStart w:id="225" w:name="_Toc20823310"/>
      <w:r>
        <w:rPr>
          <w:rFonts w:hint="eastAsia" w:ascii="Times New Roman" w:hAnsi="Times New Roman" w:cs="Times New Roman"/>
          <w:b w:val="0"/>
          <w:sz w:val="30"/>
          <w:szCs w:val="30"/>
          <w:highlight w:val="none"/>
        </w:rPr>
        <w:t xml:space="preserve">28、</w:t>
      </w:r>
      <w:bookmarkEnd w:id="223"/>
      <w:r>
        <w:rPr>
          <w:rFonts w:hint="eastAsia" w:ascii="Times New Roman" w:hAnsi="Times New Roman" w:cs="Times New Roman"/>
          <w:b w:val="0"/>
          <w:sz w:val="30"/>
          <w:szCs w:val="30"/>
          <w:highlight w:val="none"/>
        </w:rPr>
        <w:t xml:space="preserve">确定</w:t>
      </w:r>
      <w:bookmarkEnd w:id="224"/>
      <w:r/>
      <w:bookmarkEnd w:id="225"/>
      <w:r>
        <w:rPr>
          <w:rFonts w:hint="eastAsia" w:ascii="Times New Roman" w:hAnsi="Times New Roman" w:cs="Times New Roman"/>
          <w:b w:val="0"/>
          <w:sz w:val="30"/>
          <w:szCs w:val="30"/>
          <w:highlight w:val="none"/>
        </w:rPr>
        <w:t xml:space="preserve">中标单位</w:t>
      </w:r>
      <w:r>
        <w:rPr>
          <w:rFonts w:hint="eastAsia" w:ascii="Times New Roman" w:hAnsi="Times New Roman" w:cs="Times New Roman"/>
          <w:b w:val="0"/>
          <w:sz w:val="30"/>
          <w:szCs w:val="30"/>
          <w:highlight w:val="none"/>
        </w:rPr>
      </w:r>
      <w:r/>
    </w:p>
    <w:p>
      <w:pPr>
        <w:pStyle w:val="664"/>
        <w:ind w:firstLine="480"/>
        <w:spacing w:line="560" w:lineRule="exact"/>
        <w:rPr>
          <w:rFonts w:hint="eastAsia"/>
          <w:bCs/>
          <w:sz w:val="24"/>
          <w:highlight w:val="none"/>
        </w:rPr>
      </w:pPr>
      <w:r>
        <w:rPr>
          <w:rFonts w:hint="eastAsia"/>
          <w:bCs/>
          <w:sz w:val="24"/>
          <w:highlight w:val="none"/>
        </w:rPr>
        <w:t xml:space="preserve">28.1中标候选人的选取原则和数量见招标文件第五章规定。 </w:t>
      </w:r>
      <w:r>
        <w:rPr>
          <w:rFonts w:hint="eastAsia"/>
          <w:bCs/>
          <w:sz w:val="24"/>
          <w:highlight w:val="none"/>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2</w:t>
      </w:r>
      <w:r>
        <w:rPr>
          <w:rFonts w:hint="eastAsia"/>
          <w:bCs/>
          <w:sz w:val="24"/>
          <w:highlight w:val="none"/>
        </w:rPr>
        <w:t xml:space="preserve">8</w:t>
      </w:r>
      <w:r>
        <w:rPr>
          <w:rFonts w:hint="eastAsia"/>
          <w:bCs/>
          <w:sz w:val="24"/>
          <w:highlight w:val="none"/>
          <w:lang w:val="zh-CN"/>
        </w:rPr>
        <w:t xml:space="preserve">.2 按以下第</w:t>
      </w:r>
      <w:r>
        <w:rPr>
          <w:rFonts w:hint="eastAsia"/>
          <w:bCs/>
          <w:sz w:val="24"/>
          <w:highlight w:val="none"/>
          <w:u w:val="single"/>
          <w:lang w:val="zh-CN"/>
        </w:rPr>
        <w:t xml:space="preserve">（</w:t>
      </w:r>
      <w:r>
        <w:rPr>
          <w:rFonts w:hint="eastAsia"/>
          <w:bCs/>
          <w:sz w:val="24"/>
          <w:highlight w:val="none"/>
          <w:u w:val="single"/>
        </w:rPr>
        <w:t xml:space="preserve">2</w:t>
      </w:r>
      <w:r>
        <w:rPr>
          <w:rFonts w:hint="eastAsia"/>
          <w:bCs/>
          <w:sz w:val="24"/>
          <w:highlight w:val="none"/>
          <w:u w:val="single"/>
          <w:lang w:val="zh-CN"/>
        </w:rPr>
        <w:t xml:space="preserve">）</w:t>
      </w:r>
      <w:r>
        <w:rPr>
          <w:rFonts w:hint="eastAsia"/>
          <w:bCs/>
          <w:sz w:val="24"/>
          <w:highlight w:val="none"/>
          <w:lang w:val="zh-CN"/>
        </w:rPr>
        <w:t xml:space="preserve">种方式确定中标人</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（1）评委会直接确定排名第一的中标候选人为中标人；</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（2）采购人在评委会推荐的中标候选人中按顺序确定中标人。</w:t>
      </w:r>
      <w:r>
        <w:rPr>
          <w:rFonts w:hint="eastAsia"/>
          <w:bCs/>
          <w:sz w:val="24"/>
          <w:highlight w:val="none"/>
          <w:lang w:val="zh-CN"/>
        </w:rPr>
      </w:r>
      <w:r/>
    </w:p>
    <w:p>
      <w:pPr>
        <w:pStyle w:val="664"/>
        <w:ind w:firstLine="480"/>
        <w:spacing w:line="560" w:lineRule="exact"/>
        <w:rPr>
          <w:rFonts w:hint="eastAsia"/>
          <w:highlight w:val="none"/>
        </w:rPr>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highlight w:val="none"/>
        </w:rPr>
      </w:r>
      <w:r/>
    </w:p>
    <w:p>
      <w:pPr>
        <w:pStyle w:val="664"/>
        <w:ind w:firstLine="480"/>
        <w:spacing w:line="560" w:lineRule="exact"/>
        <w:rPr>
          <w:rFonts w:hint="eastAsia"/>
          <w:sz w:val="24"/>
          <w:szCs w:val="24"/>
          <w:highlight w:val="none"/>
        </w:rPr>
      </w:pPr>
      <w:r>
        <w:rPr>
          <w:rFonts w:hint="eastAsia"/>
          <w:bCs/>
          <w:sz w:val="24"/>
          <w:szCs w:val="24"/>
          <w:highlight w:val="none"/>
        </w:rPr>
        <w:t xml:space="preserve">28.3 </w:t>
      </w:r>
      <w:r>
        <w:rPr>
          <w:rFonts w:hint="eastAsia"/>
          <w:sz w:val="24"/>
          <w:szCs w:val="24"/>
          <w:highlight w:val="none"/>
        </w:rPr>
        <w:t xml:space="preserve">采购代理机构将在“宿迁市政府采购网”发布中标公告，公告期限为1个工作日。</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28.4  若有充分证据证明，中标人出现下列情况之一的，一经查实，将被取消中标资格：</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28.4.1提供虚假材料谋取中标的。</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28.4.2向采购人、采购代理机构行贿或者提供其他不正当利益的。</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28.4.3属于本文件规定的无效条件，但在评标过程中又未被评委会发现的。</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28.4.4与采购人或者其他投标人恶意串通的。</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28.4.5采取不正当手段诋毁、排挤其他投标人的。</w:t>
      </w:r>
      <w:r>
        <w:rPr>
          <w:rFonts w:hint="eastAsia"/>
          <w:sz w:val="24"/>
          <w:szCs w:val="24"/>
          <w:highlight w:val="none"/>
        </w:rPr>
      </w:r>
      <w:r/>
    </w:p>
    <w:p>
      <w:pPr>
        <w:pStyle w:val="664"/>
        <w:ind w:firstLine="480"/>
        <w:spacing w:line="560" w:lineRule="exact"/>
        <w:rPr>
          <w:sz w:val="24"/>
          <w:szCs w:val="24"/>
          <w:highlight w:val="none"/>
        </w:rPr>
      </w:pPr>
      <w:r/>
      <w:bookmarkStart w:id="226" w:name="_Toc200451960"/>
      <w:r>
        <w:rPr>
          <w:rFonts w:hint="eastAsia"/>
          <w:sz w:val="24"/>
          <w:szCs w:val="24"/>
          <w:highlight w:val="none"/>
        </w:rPr>
        <w:t xml:space="preserve">28.5 </w:t>
      </w:r>
      <w:r>
        <w:rPr>
          <w:rFonts w:cs="宋体"/>
          <w:sz w:val="24"/>
          <w:szCs w:val="24"/>
          <w:highlight w:val="none"/>
        </w:rPr>
        <w:t xml:space="preserve">有下列情形之一的，</w:t>
      </w:r>
      <w:r>
        <w:rPr>
          <w:rFonts w:hint="eastAsia" w:cs="宋体"/>
          <w:sz w:val="24"/>
          <w:szCs w:val="24"/>
          <w:highlight w:val="none"/>
        </w:rPr>
        <w:t xml:space="preserve">视为投标人</w:t>
      </w:r>
      <w:r>
        <w:rPr>
          <w:rFonts w:cs="宋体"/>
          <w:sz w:val="24"/>
          <w:szCs w:val="24"/>
          <w:highlight w:val="none"/>
        </w:rPr>
        <w:t xml:space="preserve">串通</w:t>
      </w:r>
      <w:r>
        <w:rPr>
          <w:rFonts w:hint="eastAsia" w:cs="宋体"/>
          <w:sz w:val="24"/>
          <w:szCs w:val="24"/>
          <w:highlight w:val="none"/>
        </w:rPr>
        <w:t xml:space="preserve">投标，投标无效：</w:t>
      </w:r>
      <w:r>
        <w:rPr>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28.5.1不同投标人的投标文件由同一单位或者个人编制。</w:t>
      </w:r>
      <w:r>
        <w:rPr>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28.5.2不同投标人委托同一单位或者个人办理投标事宜。</w:t>
      </w:r>
      <w:r>
        <w:rPr>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28.5.3 不同投标人的投标文件载明的项目管理成员或者联系人员为同一人。</w:t>
      </w:r>
      <w:r>
        <w:rPr>
          <w:sz w:val="24"/>
          <w:szCs w:val="24"/>
          <w:highlight w:val="none"/>
        </w:rPr>
      </w:r>
      <w:r/>
    </w:p>
    <w:p>
      <w:pPr>
        <w:pStyle w:val="664"/>
        <w:ind w:firstLine="480"/>
        <w:spacing w:line="560" w:lineRule="exact"/>
        <w:rPr>
          <w:sz w:val="24"/>
          <w:szCs w:val="24"/>
          <w:highlight w:val="none"/>
        </w:rPr>
      </w:pPr>
      <w:r>
        <w:rPr>
          <w:rFonts w:hint="eastAsia"/>
          <w:sz w:val="24"/>
          <w:szCs w:val="24"/>
          <w:highlight w:val="none"/>
        </w:rPr>
        <w:t xml:space="preserve">28.5.4不同投标人的投标文件异常一致或者投标报价呈规律性差异。</w:t>
      </w:r>
      <w:r>
        <w:rPr>
          <w:sz w:val="24"/>
          <w:szCs w:val="24"/>
          <w:highlight w:val="none"/>
        </w:rPr>
      </w:r>
      <w:r/>
    </w:p>
    <w:p>
      <w:pPr>
        <w:pStyle w:val="668"/>
        <w:ind w:firstLine="600"/>
        <w:spacing w:before="0" w:after="0" w:line="560" w:lineRule="exact"/>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29、质疑处理</w:t>
      </w:r>
      <w:bookmarkEnd w:id="226"/>
      <w:r>
        <w:rPr>
          <w:rFonts w:hint="eastAsia" w:ascii="Times New Roman" w:hAnsi="Times New Roman" w:cs="Times New Roman"/>
          <w:b w:val="0"/>
          <w:sz w:val="30"/>
          <w:szCs w:val="30"/>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29.1 提出质疑的投标人应当是参与所质疑项目采购活动的投标人。潜在投标人依法获取其可质疑的采购文件的，可以对采购文件提出质疑。</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sz w:val="24"/>
          <w:szCs w:val="24"/>
          <w:highlight w:val="none"/>
        </w:rPr>
      </w:r>
      <w:r/>
    </w:p>
    <w:p>
      <w:pPr>
        <w:pStyle w:val="664"/>
        <w:ind w:firstLine="480"/>
        <w:spacing w:line="560" w:lineRule="exact"/>
        <w:rPr>
          <w:rFonts w:hint="eastAsia" w:cs="宋体"/>
          <w:sz w:val="24"/>
          <w:szCs w:val="24"/>
          <w:highlight w:val="none"/>
        </w:rPr>
      </w:pPr>
      <w:r>
        <w:rPr>
          <w:rFonts w:hint="eastAsia"/>
          <w:sz w:val="24"/>
          <w:szCs w:val="24"/>
          <w:highlight w:val="none"/>
        </w:rPr>
        <w:t xml:space="preserve">29.2.1</w:t>
      </w:r>
      <w:r>
        <w:rPr>
          <w:rFonts w:cs="宋体"/>
          <w:sz w:val="24"/>
          <w:szCs w:val="24"/>
          <w:highlight w:val="none"/>
        </w:rPr>
        <w:t xml:space="preserve">对可以质疑的采购文件提出质疑的，为收到采购文件之日或者采购文件公告期限届满之日；</w:t>
      </w:r>
      <w:r>
        <w:rPr>
          <w:rFonts w:hint="eastAsia" w:cs="宋体"/>
          <w:sz w:val="24"/>
          <w:szCs w:val="24"/>
          <w:highlight w:val="none"/>
        </w:rPr>
      </w:r>
      <w:r/>
    </w:p>
    <w:p>
      <w:pPr>
        <w:pStyle w:val="664"/>
        <w:ind w:firstLine="480"/>
        <w:spacing w:line="560" w:lineRule="exact"/>
        <w:rPr>
          <w:rFonts w:hint="eastAsia" w:cs="宋体"/>
          <w:sz w:val="24"/>
          <w:szCs w:val="24"/>
          <w:highlight w:val="none"/>
        </w:rPr>
      </w:pPr>
      <w:r>
        <w:rPr>
          <w:rFonts w:hint="eastAsia"/>
          <w:sz w:val="24"/>
          <w:szCs w:val="24"/>
          <w:highlight w:val="none"/>
        </w:rPr>
        <w:t xml:space="preserve">29.2.2</w:t>
      </w:r>
      <w:r>
        <w:rPr>
          <w:rFonts w:cs="宋体"/>
          <w:sz w:val="24"/>
          <w:szCs w:val="24"/>
          <w:highlight w:val="none"/>
        </w:rPr>
        <w:t xml:space="preserve">对采购过程提出质疑的，为各采购程序环节结束之日；</w:t>
      </w:r>
      <w:r>
        <w:rPr>
          <w:rFonts w:hint="eastAsia" w:cs="宋体"/>
          <w:sz w:val="24"/>
          <w:szCs w:val="24"/>
          <w:highlight w:val="none"/>
        </w:rPr>
      </w:r>
      <w:r/>
    </w:p>
    <w:p>
      <w:pPr>
        <w:pStyle w:val="664"/>
        <w:ind w:firstLine="480"/>
        <w:spacing w:line="560" w:lineRule="exact"/>
        <w:rPr>
          <w:rFonts w:hint="eastAsia" w:cs="宋体"/>
          <w:sz w:val="24"/>
          <w:szCs w:val="24"/>
          <w:highlight w:val="none"/>
        </w:rPr>
      </w:pPr>
      <w:r>
        <w:rPr>
          <w:rFonts w:hint="eastAsia"/>
          <w:sz w:val="24"/>
          <w:szCs w:val="24"/>
          <w:highlight w:val="none"/>
        </w:rPr>
        <w:t xml:space="preserve">29.2.3</w:t>
      </w:r>
      <w:r>
        <w:rPr>
          <w:rFonts w:cs="宋体"/>
          <w:sz w:val="24"/>
          <w:szCs w:val="24"/>
          <w:highlight w:val="none"/>
        </w:rPr>
        <w:t xml:space="preserve">对中标或者成交结果提出质疑的，为中标或者成交结果公告期限届满之日。</w:t>
      </w:r>
      <w:r>
        <w:rPr>
          <w:rFonts w:hint="eastAsia" w:cs="宋体"/>
          <w:sz w:val="24"/>
          <w:szCs w:val="24"/>
          <w:highlight w:val="none"/>
        </w:rPr>
      </w:r>
      <w:r/>
    </w:p>
    <w:p>
      <w:pPr>
        <w:pStyle w:val="664"/>
        <w:ind w:firstLine="480"/>
        <w:spacing w:line="560" w:lineRule="exact"/>
        <w:rPr>
          <w:rFonts w:hint="eastAsia" w:cs="宋体"/>
          <w:sz w:val="24"/>
          <w:szCs w:val="24"/>
          <w:highlight w:val="none"/>
        </w:rPr>
      </w:pPr>
      <w:r>
        <w:rPr>
          <w:rFonts w:hint="eastAsia"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sz w:val="24"/>
          <w:szCs w:val="24"/>
          <w:highlight w:val="none"/>
        </w:rPr>
        <w:t xml:space="preserve">采购人</w:t>
      </w:r>
      <w:r>
        <w:rPr>
          <w:rFonts w:hint="eastAsia" w:cs="宋体"/>
          <w:sz w:val="24"/>
          <w:szCs w:val="24"/>
          <w:highlight w:val="none"/>
        </w:rPr>
        <w:t xml:space="preserve">将只对投标人第一次质疑作出答复。</w:t>
      </w:r>
      <w:r>
        <w:rPr>
          <w:rFonts w:hint="eastAsia" w:cs="宋体"/>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highlight w:val="none"/>
        </w:rPr>
      </w:r>
      <w:r/>
    </w:p>
    <w:p>
      <w:pPr>
        <w:pStyle w:val="664"/>
        <w:ind w:firstLine="480"/>
        <w:spacing w:line="560" w:lineRule="exact"/>
        <w:rPr>
          <w:rFonts w:hint="eastAsia"/>
          <w:sz w:val="24"/>
          <w:szCs w:val="24"/>
          <w:highlight w:val="none"/>
        </w:rPr>
      </w:pPr>
      <w:r>
        <w:rPr>
          <w:sz w:val="24"/>
          <w:szCs w:val="24"/>
          <w:highlight w:val="none"/>
        </w:rPr>
        <w:t xml:space="preserve">29</w:t>
      </w:r>
      <w:r>
        <w:rPr>
          <w:rFonts w:hint="eastAsia"/>
          <w:sz w:val="24"/>
          <w:szCs w:val="24"/>
          <w:highlight w:val="none"/>
        </w:rPr>
        <w:t xml:space="preserve">.4 投标人应以书面形式向采购人或者其委托的采购代理机构提出质疑。质疑超出采购机构代理范围的，投标人应当向采购人提出。</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接收质疑函的方式：现场接收或邮寄接收。</w:t>
      </w:r>
      <w:r>
        <w:rPr>
          <w:rFonts w:hint="eastAsia"/>
          <w:sz w:val="24"/>
          <w:szCs w:val="24"/>
          <w:highlight w:val="none"/>
        </w:rPr>
      </w:r>
      <w:r/>
    </w:p>
    <w:p>
      <w:pPr>
        <w:pStyle w:val="664"/>
        <w:ind w:firstLine="480"/>
        <w:spacing w:line="560" w:lineRule="exact"/>
        <w:rPr>
          <w:rFonts w:hint="eastAsia"/>
          <w:sz w:val="24"/>
          <w:szCs w:val="24"/>
          <w:highlight w:val="none"/>
          <w:u w:val="single"/>
        </w:rPr>
      </w:pPr>
      <w:r>
        <w:rPr>
          <w:rFonts w:hint="eastAsia"/>
          <w:sz w:val="24"/>
          <w:szCs w:val="24"/>
          <w:highlight w:val="none"/>
        </w:rPr>
        <w:t xml:space="preserve">联系部门：</w:t>
      </w:r>
      <w:r>
        <w:rPr>
          <w:rFonts w:hint="eastAsia"/>
          <w:sz w:val="24"/>
          <w:szCs w:val="24"/>
          <w:highlight w:val="none"/>
          <w:u w:val="single"/>
        </w:rPr>
        <w:t xml:space="preserve">江苏省宿迁市人民检察院、宿迁市楚润数据集团有限公司或江苏佳兴项目管理有限公司</w:t>
      </w:r>
      <w:r>
        <w:rPr>
          <w:rFonts w:hint="eastAsia"/>
          <w:sz w:val="24"/>
          <w:szCs w:val="24"/>
          <w:highlight w:val="none"/>
          <w:u w:val="single"/>
        </w:rPr>
      </w:r>
      <w:r/>
    </w:p>
    <w:p>
      <w:pPr>
        <w:pStyle w:val="664"/>
        <w:ind w:firstLine="480"/>
        <w:spacing w:line="560" w:lineRule="exact"/>
        <w:rPr>
          <w:sz w:val="24"/>
          <w:szCs w:val="24"/>
          <w:highlight w:val="none"/>
          <w:u w:val="single"/>
        </w:rPr>
      </w:pPr>
      <w:r>
        <w:rPr>
          <w:rFonts w:hint="eastAsia"/>
          <w:sz w:val="24"/>
          <w:szCs w:val="24"/>
          <w:highlight w:val="none"/>
        </w:rPr>
        <w:t xml:space="preserve">联系电话：</w:t>
      </w:r>
      <w:r>
        <w:rPr>
          <w:rFonts w:hint="eastAsia"/>
          <w:sz w:val="24"/>
          <w:szCs w:val="24"/>
          <w:highlight w:val="none"/>
          <w:u w:val="single"/>
        </w:rPr>
        <w:t xml:space="preserve">0527-84366759/0527-81008586、</w:t>
      </w:r>
      <w:r>
        <w:rPr>
          <w:sz w:val="24"/>
          <w:szCs w:val="24"/>
          <w:highlight w:val="none"/>
          <w:u w:val="single"/>
        </w:rPr>
        <w:t xml:space="preserve">0527-88858115</w:t>
      </w:r>
      <w:r>
        <w:rPr>
          <w:sz w:val="24"/>
          <w:szCs w:val="24"/>
          <w:highlight w:val="none"/>
          <w:u w:val="single"/>
        </w:rPr>
      </w:r>
      <w:r/>
    </w:p>
    <w:p>
      <w:pPr>
        <w:pStyle w:val="664"/>
        <w:ind w:firstLine="480"/>
        <w:spacing w:line="560" w:lineRule="exact"/>
        <w:rPr>
          <w:sz w:val="24"/>
          <w:szCs w:val="24"/>
          <w:highlight w:val="none"/>
          <w:u w:val="single"/>
        </w:rPr>
      </w:pPr>
      <w:r>
        <w:rPr>
          <w:rFonts w:hint="eastAsia"/>
          <w:sz w:val="24"/>
          <w:szCs w:val="24"/>
          <w:highlight w:val="none"/>
        </w:rPr>
        <w:t xml:space="preserve">通讯地址：</w:t>
      </w:r>
      <w:r>
        <w:rPr>
          <w:rFonts w:hint="eastAsia"/>
          <w:sz w:val="24"/>
          <w:szCs w:val="24"/>
          <w:highlight w:val="none"/>
          <w:u w:val="single"/>
        </w:rPr>
        <w:t xml:space="preserve">宿城区洪泽湖路1312号、宿迁市宿城区发展大道2496号二楼或宿迁经济技术开发区世纪大道299号</w:t>
      </w:r>
      <w:r>
        <w:rPr>
          <w:sz w:val="24"/>
          <w:szCs w:val="24"/>
          <w:highlight w:val="none"/>
          <w:u w:val="single"/>
        </w:rPr>
      </w:r>
      <w:r/>
    </w:p>
    <w:p>
      <w:pPr>
        <w:pStyle w:val="664"/>
        <w:ind w:firstLine="480"/>
        <w:spacing w:line="560" w:lineRule="exact"/>
        <w:rPr>
          <w:rFonts w:hint="eastAsia"/>
          <w:sz w:val="24"/>
          <w:szCs w:val="24"/>
          <w:highlight w:val="none"/>
        </w:rPr>
      </w:pPr>
      <w:r>
        <w:rPr>
          <w:rFonts w:hint="eastAsia"/>
          <w:sz w:val="24"/>
          <w:szCs w:val="24"/>
          <w:highlight w:val="none"/>
        </w:rPr>
        <w:t xml:space="preserve">29.5 以下情形的质疑不予受理</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29.5.1 内容不符合《政府采购质疑和投诉办法》第十二条规定的质疑。</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29.5.2 超出政府采购法定期限的质疑。</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29.5.3 以传真、电子邮件等方式递交的非原件形式的质疑。</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29.5.4 未参加投标活动的投标人或在投标活动中自身权益未受到损害的投标人所提出的质疑。</w:t>
      </w:r>
      <w:r>
        <w:rPr>
          <w:rFonts w:hint="eastAsia"/>
          <w:sz w:val="24"/>
          <w:szCs w:val="24"/>
          <w:highlight w:val="none"/>
        </w:rPr>
      </w:r>
      <w:r/>
    </w:p>
    <w:p>
      <w:pPr>
        <w:pStyle w:val="664"/>
        <w:ind w:firstLine="480"/>
        <w:spacing w:line="560" w:lineRule="exact"/>
        <w:rPr>
          <w:rFonts w:hint="eastAsia"/>
          <w:sz w:val="24"/>
          <w:szCs w:val="24"/>
          <w:highlight w:val="none"/>
        </w:rPr>
      </w:pPr>
      <w:r>
        <w:rPr>
          <w:rFonts w:hint="eastAsia"/>
          <w:sz w:val="24"/>
          <w:szCs w:val="24"/>
          <w:highlight w:val="none"/>
        </w:rPr>
        <w:t xml:space="preserve">29.5.5投标人组成联合体参加投标，联合体中任何一方或多方未按要求签字、盖章、加盖公章的质疑。</w:t>
      </w:r>
      <w:r>
        <w:rPr>
          <w:rFonts w:hint="eastAsia"/>
          <w:sz w:val="24"/>
          <w:szCs w:val="24"/>
          <w:highlight w:val="none"/>
        </w:rPr>
      </w:r>
      <w:r/>
    </w:p>
    <w:p>
      <w:pPr>
        <w:pStyle w:val="664"/>
        <w:ind w:firstLine="468"/>
        <w:spacing w:line="560" w:lineRule="exact"/>
        <w:rPr>
          <w:rFonts w:hint="eastAsia"/>
          <w:sz w:val="24"/>
          <w:szCs w:val="24"/>
          <w:highlight w:val="none"/>
        </w:rPr>
      </w:pPr>
      <w:r>
        <w:rPr>
          <w:rFonts w:hint="eastAsia"/>
          <w:sz w:val="24"/>
          <w:szCs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highlight w:val="none"/>
        </w:rPr>
      </w:r>
      <w:r/>
    </w:p>
    <w:p>
      <w:pPr>
        <w:pStyle w:val="664"/>
        <w:ind w:firstLine="468"/>
        <w:spacing w:line="560" w:lineRule="exact"/>
        <w:rPr>
          <w:rFonts w:hint="eastAsia"/>
          <w:sz w:val="24"/>
          <w:szCs w:val="24"/>
          <w:highlight w:val="none"/>
        </w:rPr>
      </w:pPr>
      <w:r>
        <w:rPr>
          <w:rFonts w:hint="eastAsia"/>
          <w:sz w:val="24"/>
          <w:szCs w:val="24"/>
          <w:highlight w:val="none"/>
        </w:rPr>
        <w:t xml:space="preserve">29.7  质疑供应商对采购人、采购代理机构的答复不满意，或者采购人、采购代理机构未在规定时间内作出答复的，可以在答复期满后15个工作日内向同级财政部门提起投诉。</w:t>
      </w:r>
      <w:r>
        <w:rPr>
          <w:rFonts w:hint="eastAsia"/>
          <w:sz w:val="24"/>
          <w:szCs w:val="24"/>
          <w:highlight w:val="none"/>
        </w:rPr>
      </w:r>
      <w:r/>
    </w:p>
    <w:p>
      <w:pPr>
        <w:pStyle w:val="668"/>
        <w:ind w:firstLine="600"/>
        <w:spacing w:before="0" w:after="0" w:line="560" w:lineRule="exact"/>
        <w:rPr>
          <w:rFonts w:hint="eastAsia" w:ascii="Times New Roman" w:hAnsi="Times New Roman" w:cs="Times New Roman"/>
          <w:b w:val="0"/>
          <w:sz w:val="30"/>
          <w:szCs w:val="30"/>
          <w:highlight w:val="none"/>
        </w:rPr>
      </w:pPr>
      <w:r>
        <w:rPr>
          <w:rFonts w:hint="eastAsia" w:ascii="Times New Roman" w:hAnsi="Times New Roman" w:cs="Times New Roman"/>
          <w:b w:val="0"/>
          <w:sz w:val="30"/>
          <w:szCs w:val="30"/>
          <w:highlight w:val="none"/>
        </w:rPr>
        <w:t xml:space="preserve">30、中标通知书</w:t>
      </w:r>
      <w:r>
        <w:rPr>
          <w:rFonts w:hint="eastAsia" w:ascii="Times New Roman" w:hAnsi="Times New Roman" w:cs="Times New Roman"/>
          <w:b w:val="0"/>
          <w:sz w:val="30"/>
          <w:szCs w:val="30"/>
          <w:highlight w:val="none"/>
        </w:rPr>
      </w:r>
      <w:r/>
    </w:p>
    <w:p>
      <w:pPr>
        <w:pStyle w:val="664"/>
        <w:ind w:firstLine="600"/>
        <w:spacing w:line="560" w:lineRule="exact"/>
        <w:rPr>
          <w:rFonts w:hint="eastAsia"/>
          <w:sz w:val="24"/>
          <w:szCs w:val="24"/>
          <w:highlight w:val="none"/>
        </w:rPr>
      </w:pPr>
      <w:r/>
      <w:bookmarkStart w:id="227" w:name="_Toc120614220"/>
      <w:r/>
      <w:bookmarkStart w:id="228" w:name="_Toc20823308"/>
      <w:r/>
      <w:bookmarkStart w:id="229" w:name="_Toc513029236"/>
      <w:r/>
      <w:bookmarkStart w:id="230" w:name="_Toc16938552"/>
      <w:r>
        <w:rPr>
          <w:rFonts w:hint="eastAsia"/>
          <w:sz w:val="24"/>
          <w:szCs w:val="24"/>
          <w:highlight w:val="none"/>
        </w:rPr>
        <w:t xml:space="preserve">30.l</w:t>
      </w:r>
      <w:r>
        <w:rPr>
          <w:rFonts w:hint="eastAsia"/>
          <w:b/>
          <w:sz w:val="24"/>
          <w:szCs w:val="24"/>
          <w:highlight w:val="none"/>
        </w:rPr>
        <w:t xml:space="preserve"> </w:t>
      </w:r>
      <w:r>
        <w:rPr>
          <w:rFonts w:hint="eastAsia"/>
          <w:sz w:val="24"/>
          <w:szCs w:val="24"/>
          <w:highlight w:val="none"/>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highlight w:val="none"/>
        </w:rPr>
      </w:r>
      <w:r/>
    </w:p>
    <w:p>
      <w:pPr>
        <w:pStyle w:val="664"/>
        <w:ind w:firstLine="600"/>
        <w:spacing w:line="560" w:lineRule="exact"/>
        <w:rPr>
          <w:rFonts w:hint="eastAsia"/>
          <w:sz w:val="24"/>
          <w:szCs w:val="24"/>
          <w:highlight w:val="none"/>
        </w:rPr>
      </w:pPr>
      <w:r>
        <w:rPr>
          <w:rFonts w:hint="eastAsia"/>
          <w:sz w:val="24"/>
          <w:szCs w:val="24"/>
          <w:highlight w:val="none"/>
        </w:rPr>
        <w:t xml:space="preserve">30.</w:t>
      </w:r>
      <w:r>
        <w:rPr>
          <w:sz w:val="24"/>
          <w:szCs w:val="24"/>
          <w:highlight w:val="none"/>
        </w:rPr>
        <w:t xml:space="preserve">2</w:t>
      </w:r>
      <w:r>
        <w:rPr>
          <w:rFonts w:hint="eastAsia"/>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highlight w:val="none"/>
        </w:rPr>
      </w:r>
      <w:r/>
    </w:p>
    <w:p>
      <w:pPr>
        <w:pStyle w:val="667"/>
        <w:spacing w:before="0" w:after="0" w:line="560" w:lineRule="exact"/>
        <w:rPr>
          <w:rFonts w:hint="eastAsia"/>
          <w:highlight w:val="none"/>
        </w:rPr>
      </w:pPr>
      <w:r/>
      <w:bookmarkStart w:id="231" w:name="_Toc3566"/>
      <w:r/>
      <w:bookmarkStart w:id="232" w:name="_Toc19886"/>
      <w:r/>
      <w:bookmarkStart w:id="233" w:name="_Toc22995"/>
      <w:r>
        <w:rPr>
          <w:rFonts w:hint="eastAsia"/>
          <w:highlight w:val="none"/>
        </w:rPr>
        <w:t xml:space="preserve">七、授予合同</w:t>
      </w:r>
      <w:bookmarkEnd w:id="227"/>
      <w:r/>
      <w:bookmarkEnd w:id="231"/>
      <w:r/>
      <w:bookmarkEnd w:id="232"/>
      <w:r/>
      <w:bookmarkEnd w:id="233"/>
      <w:r>
        <w:rPr>
          <w:rFonts w:hint="eastAsia"/>
          <w:highlight w:val="none"/>
        </w:rPr>
      </w:r>
      <w:r/>
    </w:p>
    <w:p>
      <w:pPr>
        <w:pStyle w:val="668"/>
        <w:ind w:firstLine="600"/>
        <w:spacing w:before="0" w:after="0" w:line="560" w:lineRule="exact"/>
        <w:rPr>
          <w:rFonts w:hint="eastAsia" w:ascii="Times New Roman" w:hAnsi="Times New Roman" w:cs="Times New Roman"/>
          <w:b w:val="0"/>
          <w:sz w:val="30"/>
          <w:szCs w:val="30"/>
          <w:highlight w:val="none"/>
        </w:rPr>
      </w:pPr>
      <w:r/>
      <w:bookmarkEnd w:id="228"/>
      <w:r/>
      <w:bookmarkEnd w:id="229"/>
      <w:r/>
      <w:bookmarkEnd w:id="230"/>
      <w:r/>
      <w:bookmarkStart w:id="234" w:name="_Toc16938553"/>
      <w:r/>
      <w:bookmarkStart w:id="235" w:name="_Toc513029237"/>
      <w:r/>
      <w:bookmarkStart w:id="236" w:name="_Toc20823309"/>
      <w:r>
        <w:rPr>
          <w:rFonts w:hint="eastAsia" w:ascii="Times New Roman" w:hAnsi="Times New Roman" w:cs="Times New Roman"/>
          <w:b w:val="0"/>
          <w:sz w:val="30"/>
          <w:szCs w:val="30"/>
          <w:highlight w:val="none"/>
        </w:rPr>
        <w:t xml:space="preserve">31. 签订合同</w:t>
      </w:r>
      <w:r>
        <w:rPr>
          <w:rFonts w:hint="eastAsia" w:ascii="Times New Roman" w:hAnsi="Times New Roman" w:cs="Times New Roman"/>
          <w:b w:val="0"/>
          <w:sz w:val="30"/>
          <w:szCs w:val="30"/>
          <w:highlight w:val="none"/>
        </w:rPr>
      </w:r>
      <w:r/>
    </w:p>
    <w:p>
      <w:pPr>
        <w:pStyle w:val="664"/>
        <w:ind w:firstLine="600"/>
        <w:spacing w:line="560" w:lineRule="exact"/>
        <w:rPr>
          <w:rFonts w:hint="eastAsia"/>
          <w:bCs/>
          <w:sz w:val="24"/>
          <w:highlight w:val="none"/>
          <w:lang w:val="zh-CN"/>
        </w:rPr>
      </w:pPr>
      <w:r>
        <w:rPr>
          <w:rFonts w:hint="eastAsia"/>
          <w:bCs/>
          <w:sz w:val="24"/>
          <w:szCs w:val="24"/>
          <w:highlight w:val="none"/>
        </w:rPr>
        <w:t xml:space="preserve">31</w:t>
      </w:r>
      <w:r>
        <w:rPr>
          <w:rFonts w:hint="eastAsia"/>
          <w:sz w:val="24"/>
          <w:szCs w:val="24"/>
          <w:highlight w:val="none"/>
        </w:rPr>
        <w:t xml:space="preserve">.l中标人应当在中标通知书发出之日起15日内，按照招标文件确定的事项与采购人签订政府采购合同。</w:t>
      </w:r>
      <w:r>
        <w:rPr>
          <w:rFonts w:hint="eastAsia"/>
          <w:bCs/>
          <w:sz w:val="24"/>
          <w:highlight w:val="none"/>
          <w:lang w:val="zh-CN"/>
        </w:rPr>
        <w:t xml:space="preserve">并在签订之日起2个工作日内将政府采购合同在指定的媒体上公告，但政府采购合同中涉及国家秘密、商业秘密的内容除外</w:t>
      </w:r>
      <w:r>
        <w:rPr>
          <w:rFonts w:hint="eastAsia"/>
          <w:bCs/>
          <w:sz w:val="24"/>
          <w:highlight w:val="none"/>
          <w:lang w:val="zh-CN"/>
        </w:rPr>
      </w:r>
      <w:r/>
    </w:p>
    <w:p>
      <w:pPr>
        <w:pStyle w:val="664"/>
        <w:ind w:firstLine="600"/>
        <w:spacing w:line="560" w:lineRule="exact"/>
        <w:rPr>
          <w:rFonts w:hint="eastAsia"/>
          <w:sz w:val="24"/>
          <w:szCs w:val="24"/>
          <w:highlight w:val="none"/>
        </w:rPr>
      </w:pPr>
      <w:r>
        <w:rPr>
          <w:rFonts w:hint="eastAsia"/>
          <w:sz w:val="24"/>
          <w:szCs w:val="24"/>
          <w:highlight w:val="none"/>
        </w:rPr>
        <w:t xml:space="preserve">31.2</w:t>
      </w:r>
      <w:r>
        <w:rPr>
          <w:rFonts w:hint="eastAsia"/>
          <w:b/>
          <w:sz w:val="24"/>
          <w:szCs w:val="24"/>
          <w:highlight w:val="none"/>
        </w:rPr>
        <w:t xml:space="preserve"> </w:t>
      </w:r>
      <w:r>
        <w:rPr>
          <w:rFonts w:hint="eastAsia"/>
          <w:sz w:val="24"/>
          <w:szCs w:val="24"/>
          <w:highlight w:val="none"/>
        </w:rPr>
        <w:t xml:space="preserve">招标文件、中标人的投标文件及招标过程中有关澄清、承诺文件均应作为合同附件。</w:t>
      </w:r>
      <w:r>
        <w:rPr>
          <w:rFonts w:hint="eastAsia"/>
          <w:sz w:val="24"/>
          <w:szCs w:val="24"/>
          <w:highlight w:val="none"/>
        </w:rPr>
      </w:r>
      <w:r/>
    </w:p>
    <w:p>
      <w:pPr>
        <w:pStyle w:val="664"/>
        <w:ind w:firstLine="600"/>
        <w:spacing w:line="560" w:lineRule="exact"/>
        <w:rPr>
          <w:rFonts w:hint="eastAsia"/>
          <w:sz w:val="24"/>
          <w:szCs w:val="24"/>
          <w:highlight w:val="none"/>
        </w:rPr>
      </w:pPr>
      <w:r>
        <w:rPr>
          <w:rFonts w:hint="eastAsia"/>
          <w:sz w:val="24"/>
          <w:szCs w:val="24"/>
          <w:highlight w:val="none"/>
        </w:rPr>
        <w:t xml:space="preserve">31.4本项目的非主体、非关键性工作是否允许分包按以下第</w:t>
      </w:r>
      <w:r>
        <w:rPr>
          <w:rFonts w:hint="eastAsia"/>
          <w:sz w:val="24"/>
          <w:szCs w:val="24"/>
          <w:highlight w:val="none"/>
          <w:u w:val="single"/>
        </w:rPr>
        <w:t xml:space="preserve">2 </w:t>
      </w:r>
      <w:r>
        <w:rPr>
          <w:rFonts w:hint="eastAsia"/>
          <w:sz w:val="24"/>
          <w:szCs w:val="24"/>
          <w:highlight w:val="none"/>
        </w:rPr>
        <w:t xml:space="preserve">种方式确定：</w:t>
      </w:r>
      <w:r>
        <w:rPr>
          <w:rFonts w:hint="eastAsia"/>
          <w:sz w:val="24"/>
          <w:szCs w:val="24"/>
          <w:highlight w:val="none"/>
        </w:rPr>
      </w:r>
      <w:r/>
    </w:p>
    <w:p>
      <w:pPr>
        <w:pStyle w:val="664"/>
        <w:ind w:firstLine="720"/>
        <w:spacing w:line="560" w:lineRule="exact"/>
        <w:rPr>
          <w:rFonts w:hint="eastAsia"/>
          <w:sz w:val="24"/>
          <w:szCs w:val="24"/>
          <w:highlight w:val="none"/>
          <w:u w:val="single"/>
        </w:rPr>
      </w:pPr>
      <w:r>
        <w:rPr>
          <w:rFonts w:hint="eastAsia"/>
          <w:sz w:val="24"/>
          <w:szCs w:val="24"/>
          <w:highlight w:val="none"/>
        </w:rPr>
        <w:t xml:space="preserve">1.允许分包，允许大中型企业向一家或者多家小微企业分包，分包具体内容、金额或比例：</w:t>
      </w: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u w:val="single"/>
        </w:rPr>
      </w:r>
      <w:r/>
    </w:p>
    <w:p>
      <w:pPr>
        <w:pStyle w:val="664"/>
        <w:ind w:firstLine="600"/>
        <w:spacing w:line="560" w:lineRule="exact"/>
        <w:rPr>
          <w:sz w:val="24"/>
          <w:szCs w:val="24"/>
          <w:highlight w:val="none"/>
        </w:rPr>
      </w:pPr>
      <w:r>
        <w:rPr>
          <w:rFonts w:hint="eastAsia"/>
          <w:sz w:val="24"/>
          <w:szCs w:val="24"/>
          <w:highlight w:val="none"/>
        </w:rPr>
        <w:t xml:space="preserve"> 2.不允许分包。未经采购人同意，中标人也不得采用分包形式履行合同,否则采购人有权终止合同。转包或分包造成采购人损失的，中标人应承担相应赔偿责任。</w:t>
      </w:r>
      <w:r>
        <w:rPr>
          <w:sz w:val="24"/>
          <w:szCs w:val="24"/>
          <w:highlight w:val="none"/>
        </w:rPr>
      </w:r>
      <w:r/>
    </w:p>
    <w:p>
      <w:pPr>
        <w:pStyle w:val="664"/>
        <w:ind w:firstLine="480"/>
        <w:spacing w:line="560" w:lineRule="exact"/>
        <w:rPr>
          <w:rFonts w:hint="eastAsia"/>
          <w:bCs/>
          <w:sz w:val="24"/>
          <w:highlight w:val="none"/>
        </w:rPr>
      </w:pPr>
      <w:r>
        <w:rPr>
          <w:rFonts w:hint="eastAsia"/>
          <w:bCs/>
          <w:sz w:val="24"/>
          <w:highlight w:val="none"/>
        </w:rPr>
        <w:t xml:space="preserve">31.4履约保证金</w:t>
      </w:r>
      <w:r>
        <w:rPr>
          <w:rFonts w:hint="eastAsia"/>
          <w:bCs/>
          <w:sz w:val="24"/>
          <w:highlight w:val="none"/>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按照以下第</w:t>
      </w:r>
      <w:r>
        <w:rPr>
          <w:rFonts w:hint="eastAsia"/>
          <w:bCs/>
          <w:sz w:val="24"/>
          <w:highlight w:val="none"/>
          <w:u w:val="single"/>
        </w:rPr>
        <w:t xml:space="preserve">  1  </w:t>
      </w:r>
      <w:r>
        <w:rPr>
          <w:rFonts w:hint="eastAsia"/>
          <w:bCs/>
          <w:sz w:val="24"/>
          <w:highlight w:val="none"/>
          <w:lang w:val="zh-CN"/>
        </w:rPr>
        <w:t xml:space="preserve">方式确定履约保证收取方式。</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(1)不收取履约保证金。</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(2)履约保证金应在采购合同签订前提交，履约保证金的金额：</w:t>
      </w:r>
      <w:r>
        <w:rPr>
          <w:rFonts w:hint="eastAsia"/>
          <w:bCs/>
          <w:sz w:val="24"/>
          <w:highlight w:val="none"/>
          <w:u w:val="single"/>
        </w:rPr>
        <w:t xml:space="preserve"> / ，</w:t>
      </w:r>
      <w:r>
        <w:rPr>
          <w:rFonts w:hint="eastAsia"/>
          <w:bCs/>
          <w:sz w:val="24"/>
          <w:highlight w:val="none"/>
          <w:lang w:val="zh-CN"/>
        </w:rPr>
        <w:t xml:space="preserve">按采购合同总价的</w:t>
      </w:r>
      <w:r>
        <w:rPr>
          <w:rFonts w:hint="eastAsia"/>
          <w:bCs/>
          <w:sz w:val="24"/>
          <w:highlight w:val="none"/>
          <w:u w:val="single"/>
        </w:rPr>
        <w:t xml:space="preserve"> / </w:t>
      </w:r>
      <w:r>
        <w:rPr>
          <w:rFonts w:hint="eastAsia"/>
          <w:bCs/>
          <w:sz w:val="24"/>
          <w:highlight w:val="none"/>
          <w:lang w:val="zh-CN"/>
        </w:rPr>
        <w:t xml:space="preserve">%（使用江苏政府采购电子履约保函（保险）代替缴纳履约保证金，按采购合同总价的3%）计取。除银行电汇、网上银行、数字人民币外，投标人还可选用银行保函、担保公司的保证担保或保险公司的保证保险、等多种形式向采购人缴纳；</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履约保证金退还的条件：按以下方式实行：</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货物类项目，项目验收合格，出具验收报告及履约保证金收据申请退付；</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履约保证金退还时间：采购单位收到投标人退付申请后5个工作日内退还；</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highlight w:val="none"/>
          <w:lang w:val="zh-CN"/>
        </w:rPr>
      </w:r>
      <w:r/>
    </w:p>
    <w:p>
      <w:pPr>
        <w:pStyle w:val="664"/>
        <w:ind w:firstLine="480"/>
        <w:spacing w:line="560" w:lineRule="exact"/>
        <w:rPr>
          <w:rFonts w:hint="eastAsia"/>
          <w:bCs/>
          <w:sz w:val="24"/>
          <w:highlight w:val="none"/>
          <w:lang w:val="zh-CN"/>
        </w:rPr>
      </w:pPr>
      <w:r>
        <w:rPr>
          <w:rFonts w:hint="eastAsia"/>
          <w:bCs/>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highlight w:val="none"/>
          <w:lang w:val="zh-CN"/>
        </w:rPr>
      </w:r>
      <w:r/>
    </w:p>
    <w:p>
      <w:pPr>
        <w:pStyle w:val="664"/>
        <w:ind w:firstLine="480"/>
        <w:spacing w:line="560" w:lineRule="exact"/>
        <w:rPr>
          <w:bCs/>
          <w:sz w:val="24"/>
          <w:highlight w:val="none"/>
        </w:rPr>
      </w:pPr>
      <w:r>
        <w:rPr>
          <w:bCs/>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highlight w:val="none"/>
        </w:rPr>
      </w:r>
      <w:r/>
    </w:p>
    <w:p>
      <w:pPr>
        <w:pStyle w:val="664"/>
        <w:ind w:firstLine="600"/>
        <w:keepLines/>
        <w:keepNex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664"/>
        <w:ind w:firstLine="480"/>
        <w:spacing w:line="560" w:lineRule="exact"/>
        <w:rPr>
          <w:rFonts w:hint="eastAsia"/>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sz w:val="24"/>
          <w:szCs w:val="24"/>
          <w:highlight w:val="none"/>
        </w:rPr>
      </w:r>
      <w:r/>
    </w:p>
    <w:p>
      <w:pPr>
        <w:pStyle w:val="668"/>
        <w:ind w:firstLine="600"/>
        <w:spacing w:before="0" w:after="0" w:line="560" w:lineRule="exact"/>
        <w:rPr>
          <w:rFonts w:ascii="Times New Roman" w:hAnsi="Times New Roman" w:cs="Times New Roman"/>
          <w:b w:val="0"/>
          <w:sz w:val="30"/>
          <w:szCs w:val="30"/>
          <w:highlight w:val="none"/>
        </w:rPr>
      </w:pPr>
      <w:r/>
      <w:bookmarkEnd w:id="234"/>
      <w:r/>
      <w:bookmarkEnd w:id="235"/>
      <w:r/>
      <w:bookmarkEnd w:id="236"/>
      <w:r/>
      <w:bookmarkStart w:id="237" w:name="_Toc20823314"/>
      <w:r/>
      <w:bookmarkStart w:id="238" w:name="_Toc479757207"/>
      <w:r/>
      <w:bookmarkStart w:id="239" w:name="_Toc16938558"/>
      <w:r/>
      <w:bookmarkStart w:id="240" w:name="_Toc120614221"/>
      <w:r/>
      <w:bookmarkStart w:id="241" w:name="_Toc513029242"/>
      <w:r>
        <w:rPr>
          <w:rFonts w:hint="eastAsia" w:ascii="Times New Roman" w:hAnsi="Times New Roman" w:cs="Times New Roman"/>
          <w:b w:val="0"/>
          <w:sz w:val="30"/>
          <w:szCs w:val="30"/>
          <w:highlight w:val="none"/>
        </w:rPr>
        <w:t xml:space="preserve">33、政府采购履约资金扶持政策</w:t>
      </w:r>
      <w:r>
        <w:rPr>
          <w:rFonts w:ascii="Times New Roman" w:hAnsi="Times New Roman" w:cs="Times New Roman"/>
          <w:b w:val="0"/>
          <w:sz w:val="30"/>
          <w:szCs w:val="30"/>
          <w:highlight w:val="none"/>
        </w:rPr>
      </w:r>
      <w:r/>
    </w:p>
    <w:p>
      <w:pPr>
        <w:pStyle w:val="679"/>
        <w:spacing w:line="560" w:lineRule="exact"/>
        <w:rPr>
          <w:rFonts w:hint="eastAsia"/>
          <w:bCs/>
          <w:sz w:val="24"/>
          <w:highlight w:val="none"/>
          <w:lang w:val="zh-CN"/>
        </w:rPr>
      </w:pPr>
      <w:r>
        <w:rPr>
          <w:rFonts w:hint="eastAsia"/>
          <w:bCs/>
          <w:sz w:val="24"/>
          <w:highlight w:val="none"/>
        </w:rPr>
        <w:t xml:space="preserve">33.1根据江苏省财政厅 中国人民银行南京分行《关于深入推进政府采购线上合同信用融资工作的通知》（苏财购〔2021〕82号）</w:t>
      </w:r>
      <w:r>
        <w:rPr>
          <w:rFonts w:hint="eastAsia"/>
          <w:bCs/>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highlight w:val="none"/>
          <w:lang w:val="zh-CN"/>
        </w:rPr>
      </w:r>
      <w:r/>
    </w:p>
    <w:p>
      <w:pPr>
        <w:pStyle w:val="668"/>
        <w:ind w:firstLine="602"/>
        <w:spacing w:before="0" w:after="0" w:line="560" w:lineRule="exact"/>
        <w:rPr>
          <w:rFonts w:hint="eastAsia" w:ascii="Times New Roman" w:hAnsi="Times New Roman" w:cs="Times New Roman"/>
          <w:sz w:val="30"/>
          <w:szCs w:val="30"/>
          <w:highlight w:val="none"/>
        </w:rPr>
      </w:pPr>
      <w:r>
        <w:rPr>
          <w:rFonts w:hint="eastAsia" w:ascii="Times New Roman" w:hAnsi="Times New Roman" w:cs="Times New Roman"/>
          <w:sz w:val="30"/>
          <w:szCs w:val="30"/>
          <w:highlight w:val="none"/>
        </w:rPr>
        <w:t xml:space="preserve">34、验收及付款</w:t>
      </w:r>
      <w:r>
        <w:rPr>
          <w:rFonts w:hint="eastAsia" w:ascii="Times New Roman" w:hAnsi="Times New Roman" w:cs="Times New Roman"/>
          <w:sz w:val="30"/>
          <w:szCs w:val="30"/>
          <w:highlight w:val="none"/>
        </w:rPr>
      </w:r>
      <w:r/>
    </w:p>
    <w:p>
      <w:pPr>
        <w:pStyle w:val="664"/>
        <w:ind w:firstLine="482"/>
        <w:spacing w:line="560" w:lineRule="exact"/>
        <w:rPr>
          <w:rFonts w:hint="eastAsia"/>
          <w:bCs/>
          <w:sz w:val="24"/>
          <w:highlight w:val="none"/>
        </w:rPr>
      </w:pPr>
      <w:r>
        <w:rPr>
          <w:rFonts w:hint="eastAsia"/>
          <w:bCs/>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34.2采购人可以邀请参加本项目的其他投标人或者第三方机构参与验收。参与验收的投标人或者第三方机构的意见作为验收书的参考资料一并存档。</w:t>
      </w:r>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返还条件挂钩。履约验收的各项资料应当存档备查。政府向社会公众提供的公共服务项目，验收结果应当向社会公告。</w:t>
      </w:r>
      <w:r>
        <w:rPr>
          <w:rFonts w:hint="eastAsia"/>
          <w:bCs/>
          <w:sz w:val="24"/>
          <w:highlight w:val="none"/>
        </w:rPr>
      </w:r>
      <w:r/>
    </w:p>
    <w:p>
      <w:pPr>
        <w:pStyle w:val="664"/>
        <w:ind w:firstLine="482"/>
        <w:spacing w:line="560" w:lineRule="exact"/>
        <w:rPr>
          <w:rFonts w:hint="eastAsia" w:cs="宋体"/>
          <w:sz w:val="24"/>
          <w:highlight w:val="none"/>
        </w:rPr>
      </w:pPr>
      <w:r>
        <w:rPr>
          <w:rFonts w:hint="eastAsia"/>
          <w:bCs/>
          <w:sz w:val="24"/>
          <w:highlight w:val="none"/>
        </w:rPr>
        <w:t xml:space="preserve">34.4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highlight w:val="none"/>
        </w:rPr>
      </w:r>
      <w:r/>
    </w:p>
    <w:p>
      <w:pPr>
        <w:pStyle w:val="664"/>
        <w:ind w:firstLine="482"/>
        <w:spacing w:line="560" w:lineRule="exact"/>
        <w:rPr>
          <w:b/>
          <w:sz w:val="24"/>
          <w:highlight w:val="none"/>
        </w:rPr>
      </w:pPr>
      <w:r>
        <w:rPr>
          <w:rFonts w:hint="eastAsia"/>
          <w:b/>
          <w:sz w:val="24"/>
          <w:highlight w:val="none"/>
        </w:rPr>
        <w:t xml:space="preserve">35、付款</w:t>
      </w:r>
      <w:r>
        <w:rPr>
          <w:b/>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 </w:t>
      </w:r>
      <w:bookmarkStart w:id="242" w:name="EBec7f529f50594afd871ea9378869e456"/>
      <w:r>
        <w:rPr>
          <w:rFonts w:hint="eastAsia"/>
          <w:bCs/>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42"/>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预付款：甲方②在收到供应商发票后10个工作日内，支付合同总金额的30%作为预付款； </w:t>
      </w:r>
      <w:r>
        <w:rPr>
          <w:rFonts w:hint="eastAsia"/>
          <w:bCs/>
          <w:sz w:val="24"/>
          <w:highlight w:val="none"/>
        </w:rPr>
      </w:r>
      <w:r/>
    </w:p>
    <w:p>
      <w:pPr>
        <w:pStyle w:val="664"/>
        <w:ind w:firstLine="480"/>
        <w:rPr>
          <w:rFonts w:hint="eastAsia"/>
          <w:bCs/>
          <w:sz w:val="24"/>
          <w:highlight w:val="none"/>
        </w:rPr>
      </w:pPr>
      <w:r>
        <w:rPr>
          <w:rFonts w:hint="eastAsia"/>
          <w:bCs/>
          <w:sz w:val="24"/>
          <w:highlight w:val="none"/>
        </w:rPr>
        <w:t xml:space="preserve">进度款：</w:t>
      </w:r>
      <w:bookmarkStart w:id="243" w:name="EBf1f8b954f7504a2cb44cef25707c76a6"/>
      <w:r/>
      <w:bookmarkEnd w:id="243"/>
      <w:r>
        <w:rPr>
          <w:rFonts w:hint="eastAsia"/>
          <w:bCs/>
          <w:sz w:val="24"/>
          <w:highlight w:val="none"/>
        </w:rPr>
        <w:t xml:space="preserve">设备安装调试完毕经验收合格且审计结束后，甲方②在收到供应商发票后10个工作日内付至最终审定价的</w:t>
      </w:r>
      <w:r>
        <w:rPr>
          <w:bCs/>
          <w:sz w:val="24"/>
          <w:highlight w:val="none"/>
        </w:rPr>
        <w:t xml:space="preserve">95</w:t>
      </w:r>
      <w:r>
        <w:rPr>
          <w:rFonts w:hint="eastAsia"/>
          <w:bCs/>
          <w:sz w:val="24"/>
          <w:highlight w:val="none"/>
        </w:rPr>
        <w:t xml:space="preserve">%，维保期结束后付清余款（无息）。</w:t>
      </w:r>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资金支付的主体：宿迁市楚润数据集团有限公司</w:t>
      </w:r>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甲方①：江苏省宿迁市人民检察院 </w:t>
      </w:r>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甲方②：宿迁市楚润数据集团有限公司</w:t>
      </w:r>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注：1、在签订合同时，中标人明确表示无需预付款或者主动要求降低预付款比例的金额，采购人可不适用预付款规定。数字人民币为合同价款支付的一种方式。</w:t>
      </w:r>
      <w:r>
        <w:rPr>
          <w:rFonts w:hint="eastAsia"/>
          <w:bCs/>
          <w:sz w:val="24"/>
          <w:highlight w:val="none"/>
        </w:rPr>
      </w:r>
      <w:r/>
    </w:p>
    <w:p>
      <w:pPr>
        <w:pStyle w:val="664"/>
        <w:ind w:firstLine="482"/>
        <w:spacing w:line="560" w:lineRule="exact"/>
        <w:rPr>
          <w:rFonts w:hint="eastAsia"/>
          <w:bCs/>
          <w:sz w:val="24"/>
          <w:highlight w:val="none"/>
        </w:rPr>
      </w:pPr>
      <w:r>
        <w:rPr>
          <w:rFonts w:hint="eastAsia"/>
          <w:bCs/>
          <w:sz w:val="24"/>
          <w:highlight w:val="none"/>
        </w:rPr>
        <w:t xml:space="preserve">2、因财政资金（或代建款项）未及时拨付至甲方②处，造成甲方②延迟付款的，甲方②不承担逾期付款责任。</w:t>
      </w:r>
      <w:r>
        <w:rPr>
          <w:rFonts w:hint="eastAsia"/>
          <w:bCs/>
          <w:sz w:val="24"/>
          <w:highlight w:val="none"/>
        </w:rPr>
      </w:r>
      <w:r/>
    </w:p>
    <w:p>
      <w:pPr>
        <w:pStyle w:val="664"/>
        <w:ind w:firstLine="482"/>
        <w:spacing w:line="560" w:lineRule="exact"/>
        <w:rPr>
          <w:rFonts w:eastAsia="黑体"/>
          <w:bCs/>
          <w:sz w:val="44"/>
          <w:highlight w:val="none"/>
        </w:rPr>
      </w:pPr>
      <w:r>
        <w:rPr>
          <w:rFonts w:hint="eastAsia"/>
          <w:b/>
          <w:sz w:val="24"/>
          <w:highlight w:val="none"/>
        </w:rPr>
        <w:t xml:space="preserve">36、补充救济条款：</w:t>
      </w:r>
      <w:r>
        <w:rPr>
          <w:rFonts w:hint="eastAsia"/>
          <w:bCs/>
          <w:sz w:val="24"/>
          <w:highlight w:val="none"/>
        </w:rPr>
        <w:t xml:space="preserve">采购供应商合法权益补偿救济机制。在履约过程因政策变化、规划调整而无法履行合同约定，造成企业合法权益受损的，采购人依据实际情况对供应商进行补偿救济。</w:t>
      </w:r>
      <w:r>
        <w:rPr>
          <w:rFonts w:eastAsia="黑体"/>
          <w:bCs/>
          <w:sz w:val="44"/>
          <w:highlight w:val="none"/>
        </w:rPr>
      </w:r>
      <w:r/>
    </w:p>
    <w:p>
      <w:pPr>
        <w:pStyle w:val="664"/>
        <w:rPr>
          <w:highlight w:val="none"/>
        </w:rPr>
      </w:pPr>
      <w:r>
        <w:rPr>
          <w:highlight w:val="none"/>
        </w:rPr>
        <w:br w:type="page" w:clear="all"/>
      </w:r>
      <w:r>
        <w:rPr>
          <w:highlight w:val="none"/>
        </w:rPr>
      </w:r>
      <w:r/>
    </w:p>
    <w:p>
      <w:pPr>
        <w:pStyle w:val="664"/>
        <w:ind w:firstLine="2640"/>
        <w:keepNext/>
        <w:rPr>
          <w:rFonts w:eastAsia="黑体"/>
          <w:bCs/>
          <w:sz w:val="44"/>
          <w:szCs w:val="28"/>
          <w:highlight w:val="none"/>
        </w:rPr>
        <w:outlineLvl w:val="0"/>
      </w:pPr>
      <w:r/>
      <w:bookmarkEnd w:id="237"/>
      <w:r/>
      <w:bookmarkEnd w:id="238"/>
      <w:r/>
      <w:bookmarkEnd w:id="239"/>
      <w:r/>
      <w:bookmarkEnd w:id="240"/>
      <w:r/>
      <w:bookmarkEnd w:id="241"/>
      <w:r/>
      <w:bookmarkStart w:id="244" w:name="_Toc155086566"/>
      <w:r/>
      <w:bookmarkStart w:id="245" w:name="_Toc194"/>
      <w:r/>
      <w:bookmarkStart w:id="246" w:name="_Toc104802328"/>
      <w:r/>
      <w:bookmarkStart w:id="247" w:name="_Toc118461986"/>
      <w:r/>
      <w:bookmarkStart w:id="248" w:name="_Toc7763"/>
      <w:r/>
      <w:bookmarkStart w:id="249" w:name="_Toc21540"/>
      <w:r/>
      <w:bookmarkStart w:id="250" w:name="_Toc120614244"/>
      <w:r/>
      <w:bookmarkStart w:id="251" w:name="_Toc20823346"/>
      <w:r/>
      <w:bookmarkStart w:id="252" w:name="_Toc16938590"/>
      <w:r/>
      <w:bookmarkStart w:id="253" w:name="_Hlt16619350"/>
      <w:r/>
      <w:bookmarkStart w:id="254" w:name="_Toc479757211"/>
      <w:r/>
      <w:bookmarkStart w:id="255" w:name="_Toc462564139"/>
      <w:r>
        <w:rPr>
          <w:rFonts w:hint="eastAsia" w:eastAsia="黑体"/>
          <w:bCs/>
          <w:sz w:val="44"/>
          <w:szCs w:val="28"/>
          <w:highlight w:val="none"/>
        </w:rPr>
        <w:t xml:space="preserve">第三章  合同文本</w:t>
      </w:r>
      <w:bookmarkEnd w:id="244"/>
      <w:r/>
      <w:bookmarkEnd w:id="245"/>
      <w:r/>
      <w:bookmarkEnd w:id="246"/>
      <w:r/>
      <w:bookmarkEnd w:id="247"/>
      <w:r/>
      <w:bookmarkEnd w:id="248"/>
      <w:r/>
      <w:bookmarkEnd w:id="249"/>
      <w:r>
        <w:rPr>
          <w:rFonts w:eastAsia="黑体"/>
          <w:bCs/>
          <w:sz w:val="44"/>
          <w:szCs w:val="28"/>
          <w:highlight w:val="none"/>
        </w:rPr>
      </w:r>
      <w:r/>
    </w:p>
    <w:p>
      <w:pPr>
        <w:pStyle w:val="664"/>
        <w:jc w:val="center"/>
        <w:spacing w:line="360" w:lineRule="auto"/>
        <w:rPr>
          <w:rFonts w:hint="eastAsia" w:ascii="宋体" w:hAnsi="宋体" w:cs="宋体"/>
          <w:b/>
          <w:bCs/>
          <w:sz w:val="24"/>
          <w:szCs w:val="24"/>
          <w:highlight w:val="none"/>
          <w:u w:val="single"/>
        </w:rPr>
      </w:pPr>
      <w:r>
        <w:rPr>
          <w:rFonts w:hint="eastAsia" w:ascii="宋体" w:hAnsi="宋体" w:cs="宋体"/>
          <w:b/>
          <w:bCs/>
          <w:sz w:val="24"/>
          <w:szCs w:val="24"/>
          <w:highlight w:val="none"/>
          <w:u w:val="single"/>
        </w:rPr>
      </w:r>
      <w:r/>
    </w:p>
    <w:p>
      <w:pPr>
        <w:pStyle w:val="664"/>
        <w:jc w:val="center"/>
        <w:spacing w:line="360" w:lineRule="auto"/>
        <w:rPr>
          <w:rFonts w:hint="eastAsia" w:ascii="宋体" w:hAnsi="宋体" w:cs="宋体"/>
          <w:b/>
          <w:bCs/>
          <w:sz w:val="24"/>
          <w:szCs w:val="24"/>
          <w:highlight w:val="none"/>
        </w:rPr>
      </w:pPr>
      <w:r>
        <w:rPr>
          <w:rFonts w:hint="eastAsia" w:ascii="宋体" w:hAnsi="宋体" w:cs="宋体"/>
          <w:b/>
          <w:bCs/>
          <w:sz w:val="32"/>
          <w:szCs w:val="32"/>
          <w:highlight w:val="none"/>
          <w:u w:val="single"/>
        </w:rPr>
        <w:t xml:space="preserve">                     项目</w:t>
      </w:r>
      <w:r>
        <w:rPr>
          <w:rFonts w:hint="eastAsia" w:ascii="宋体" w:hAnsi="宋体" w:cs="宋体"/>
          <w:b/>
          <w:bCs/>
          <w:sz w:val="32"/>
          <w:szCs w:val="32"/>
          <w:highlight w:val="none"/>
        </w:rPr>
        <w:t xml:space="preserve">采购合同（参考）</w:t>
      </w:r>
      <w:r>
        <w:rPr>
          <w:rFonts w:hint="eastAsia" w:ascii="宋体" w:hAnsi="宋体" w:cs="宋体"/>
          <w:b/>
          <w:bCs/>
          <w:sz w:val="24"/>
          <w:szCs w:val="24"/>
          <w:highlight w:val="none"/>
        </w:rPr>
      </w:r>
      <w:r/>
    </w:p>
    <w:p>
      <w:pPr>
        <w:pStyle w:val="664"/>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664"/>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第一部分  专用条款</w:t>
      </w:r>
      <w:r>
        <w:rPr>
          <w:rFonts w:hint="eastAsia" w:ascii="宋体" w:hAnsi="宋体" w:cs="宋体"/>
          <w:bCs/>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采购单位1（全称）：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（简称甲方1）</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采购单位2（全称）：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（简称甲方2）</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中标供应商（全称）：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（简称乙方）</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依照《中华人民共和国政府采购法》及其实施条例、《中华人民共和国民法典（第三编合同）》及其他有关法律、行政法规，遵循平等、自愿、公平和诚实信用的原则，双方就采购编号为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相关</w:t>
      </w:r>
      <w:r>
        <w:rPr>
          <w:rFonts w:hint="eastAsia" w:ascii="宋体" w:hAnsi="宋体" w:cs="宋体"/>
          <w:sz w:val="24"/>
          <w:szCs w:val="24"/>
          <w:highlight w:val="none"/>
        </w:rPr>
        <w:t xml:space="preserve">事项协商一致，达成如下合同条款：</w:t>
      </w:r>
      <w:r>
        <w:rPr>
          <w:rFonts w:hint="eastAsia" w:ascii="宋体" w:hAnsi="宋体" w:cs="宋体"/>
          <w:sz w:val="24"/>
          <w:szCs w:val="24"/>
          <w:highlight w:val="none"/>
        </w:rPr>
      </w:r>
      <w:r/>
    </w:p>
    <w:p>
      <w:pPr>
        <w:pStyle w:val="664"/>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w:t>
      </w:r>
      <w:r>
        <w:rPr>
          <w:rFonts w:hint="eastAsia" w:ascii="宋体" w:hAnsi="宋体" w:cs="宋体"/>
          <w:b/>
          <w:sz w:val="24"/>
          <w:szCs w:val="24"/>
          <w:highlight w:val="none"/>
        </w:rPr>
        <w:t xml:space="preserve">乙方向甲方提供总价值（含税价）为</w:t>
      </w:r>
      <w:r>
        <w:rPr>
          <w:rFonts w:hint="eastAsia" w:ascii="宋体" w:hAnsi="宋体" w:cs="宋体"/>
          <w:b/>
          <w:sz w:val="24"/>
          <w:szCs w:val="24"/>
          <w:highlight w:val="none"/>
          <w:u w:val="single"/>
        </w:rPr>
        <w:t xml:space="preserve">人民币       （￥          ）</w:t>
      </w:r>
      <w:r>
        <w:rPr>
          <w:rFonts w:hint="eastAsia" w:ascii="宋体" w:hAnsi="宋体" w:cs="宋体"/>
          <w:b/>
          <w:sz w:val="24"/>
          <w:szCs w:val="24"/>
          <w:highlight w:val="none"/>
        </w:rPr>
        <w:t xml:space="preserve">的标的物</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64"/>
        <w:ind w:firstLine="301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主要标的物清单（详细列明）</w:t>
      </w:r>
      <w:r>
        <w:rPr>
          <w:rFonts w:hint="eastAsia" w:ascii="宋体" w:hAnsi="宋体" w:cs="宋体"/>
          <w:b/>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1212"/>
        <w:gridCol w:w="900"/>
        <w:gridCol w:w="696"/>
        <w:gridCol w:w="936"/>
        <w:gridCol w:w="936"/>
        <w:gridCol w:w="696"/>
        <w:gridCol w:w="918"/>
      </w:tblGrid>
      <w:tr>
        <w:trPr>
          <w:cantSplit/>
          <w:trHeight w:val="1090"/>
        </w:trPr>
        <w:tc>
          <w:tcPr>
            <w:tcW w:w="696"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176"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货物名称</w:t>
            </w:r>
            <w:r>
              <w:rPr>
                <w:rFonts w:hint="eastAsia" w:ascii="宋体" w:hAnsi="宋体" w:cs="宋体"/>
                <w:sz w:val="24"/>
                <w:szCs w:val="24"/>
                <w:highlight w:val="none"/>
              </w:rPr>
            </w:r>
            <w:r/>
          </w:p>
        </w:tc>
        <w:tc>
          <w:tcPr>
            <w:tcW w:w="1212"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规格及型号</w:t>
            </w:r>
            <w:r>
              <w:rPr>
                <w:rFonts w:hint="eastAsia" w:ascii="宋体" w:hAnsi="宋体" w:cs="宋体"/>
                <w:sz w:val="24"/>
                <w:szCs w:val="24"/>
                <w:highlight w:val="none"/>
              </w:rPr>
            </w:r>
            <w:r/>
          </w:p>
        </w:tc>
        <w:tc>
          <w:tcPr>
            <w:tcW w:w="900"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单位</w:t>
            </w: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数量</w:t>
            </w: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单价</w:t>
            </w:r>
            <w:r>
              <w:rPr>
                <w:rFonts w:hint="eastAsia" w:ascii="宋体" w:hAnsi="宋体" w:cs="宋体"/>
                <w:sz w:val="24"/>
                <w:szCs w:val="24"/>
                <w:highlight w:val="none"/>
              </w:rPr>
            </w:r>
            <w:r/>
          </w:p>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（元）</w:t>
            </w: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合价</w:t>
            </w:r>
            <w:r>
              <w:rPr>
                <w:rFonts w:hint="eastAsia" w:ascii="宋体" w:hAnsi="宋体" w:cs="宋体"/>
                <w:sz w:val="24"/>
                <w:szCs w:val="24"/>
                <w:highlight w:val="none"/>
              </w:rPr>
            </w:r>
            <w:r/>
          </w:p>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（元）</w:t>
            </w: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品牌</w:t>
            </w:r>
            <w:r>
              <w:rPr>
                <w:rFonts w:hint="eastAsia" w:ascii="宋体" w:hAnsi="宋体" w:cs="宋体"/>
                <w:sz w:val="24"/>
                <w:szCs w:val="24"/>
                <w:highlight w:val="none"/>
              </w:rPr>
            </w:r>
            <w:r/>
          </w:p>
        </w:tc>
        <w:tc>
          <w:tcPr>
            <w:tcW w:w="918" w:type="dxa"/>
            <w:vAlign w:val="center"/>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tc>
      </w:tr>
      <w:tr>
        <w:trPr>
          <w:cantSplit/>
          <w:trHeight w:val="482"/>
        </w:trPr>
        <w:tc>
          <w:tcPr>
            <w:tcW w:w="69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17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12"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00"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376"/>
        </w:trPr>
        <w:tc>
          <w:tcPr>
            <w:tcW w:w="69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7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12"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00"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200"/>
        </w:trPr>
        <w:tc>
          <w:tcPr>
            <w:tcW w:w="69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17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12"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00"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200"/>
        </w:trPr>
        <w:tc>
          <w:tcPr>
            <w:tcW w:w="69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17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12"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00"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200"/>
        </w:trPr>
        <w:tc>
          <w:tcPr>
            <w:tcW w:w="69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tcW w:w="117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12"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00"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70"/>
        </w:trPr>
        <w:tc>
          <w:tcPr>
            <w:tcW w:w="69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117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1212"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00"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top"/>
            <w:textDirection w:val="lrTb"/>
            <w:noWrap w:val="false"/>
          </w:tcPr>
          <w:p>
            <w:pPr>
              <w:pStyle w:val="814"/>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r>
            <w:r/>
          </w:p>
        </w:tc>
        <w:tc>
          <w:tcPr>
            <w:tcW w:w="93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96"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918" w:type="dxa"/>
            <w:vAlign w:val="center"/>
            <w:textDirection w:val="lrTb"/>
            <w:noWrap w:val="false"/>
          </w:tcPr>
          <w:p>
            <w:pPr>
              <w:pStyle w:val="814"/>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1406"/>
        </w:trPr>
        <w:tc>
          <w:tcPr>
            <w:gridSpan w:val="9"/>
            <w:tcW w:w="8166" w:type="dxa"/>
            <w:vAlign w:val="center"/>
            <w:textDirection w:val="lrTb"/>
            <w:noWrap w:val="false"/>
          </w:tcPr>
          <w:p>
            <w:pPr>
              <w:pStyle w:val="814"/>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合计：人民币金额（大写）：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b/>
                <w:bCs/>
                <w:sz w:val="24"/>
                <w:szCs w:val="24"/>
                <w:highlight w:val="none"/>
              </w:rPr>
            </w:r>
            <w:r/>
          </w:p>
        </w:tc>
      </w:tr>
    </w:tbl>
    <w:p>
      <w:pPr>
        <w:pStyle w:val="664"/>
        <w:ind w:firstLine="422"/>
        <w:spacing w:line="360" w:lineRule="auto"/>
        <w:rPr>
          <w:rFonts w:hint="eastAsia" w:ascii="宋体" w:hAnsi="宋体" w:cs="宋体"/>
          <w:b/>
          <w:highlight w:val="none"/>
        </w:rPr>
      </w:pPr>
      <w:r>
        <w:rPr>
          <w:rFonts w:hint="eastAsia" w:ascii="宋体" w:hAnsi="宋体" w:cs="宋体"/>
          <w:b/>
          <w:highlight w:val="none"/>
        </w:rPr>
        <w:t xml:space="preserve">本合同价款包含乙方提供合同约定的货物及乙方提供合同中服务所支出的所有费用，包含但不限于设备厂验的所有费用（产生的差旅费、交通费等）、系统对接所产生的费用、相关平台对接所产生的费用、配合费、搬迁费、人工费、辅材费等，采购人在上述合同价款之外不再向乙方支付其他任何费用，表中价格均为含税价。</w:t>
      </w:r>
      <w:r>
        <w:rPr>
          <w:rFonts w:hint="eastAsia" w:ascii="宋体" w:hAnsi="宋体" w:cs="宋体"/>
          <w:b/>
          <w:highlight w:val="none"/>
        </w:rPr>
      </w:r>
      <w:r/>
    </w:p>
    <w:p>
      <w:pPr>
        <w:pStyle w:val="664"/>
        <w:ind w:firstLine="482"/>
        <w:spacing w:line="440" w:lineRule="exact"/>
        <w:rPr>
          <w:rFonts w:hint="eastAsia" w:ascii="宋体" w:hAnsi="宋体" w:cs="宋体"/>
          <w:bCs/>
          <w:sz w:val="24"/>
          <w:szCs w:val="24"/>
          <w:highlight w:val="none"/>
        </w:rPr>
      </w:pPr>
      <w:r>
        <w:rPr>
          <w:rFonts w:hint="eastAsia" w:ascii="宋体" w:hAnsi="宋体" w:cs="宋体"/>
          <w:b/>
          <w:sz w:val="24"/>
          <w:szCs w:val="24"/>
          <w:highlight w:val="none"/>
        </w:rPr>
        <w:t xml:space="preserve">二、供货期：</w:t>
      </w:r>
      <w:r>
        <w:rPr>
          <w:rFonts w:hint="eastAsia" w:ascii="宋体" w:hAnsi="宋体" w:cs="宋体"/>
          <w:bCs/>
          <w:sz w:val="24"/>
          <w:szCs w:val="24"/>
          <w:highlight w:val="none"/>
        </w:rPr>
        <w:t xml:space="preserve">接采购人通知后</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日历天内完成供货、安装、调试完毕经验收合格交付使用。</w:t>
      </w:r>
      <w:r>
        <w:rPr>
          <w:rFonts w:hint="eastAsia" w:ascii="宋体" w:hAnsi="宋体" w:cs="宋体"/>
          <w:bCs/>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三、质量技术标准</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highlight w:val="none"/>
        </w:rPr>
      </w:pPr>
      <w:r>
        <w:rPr>
          <w:rFonts w:hint="eastAsia" w:ascii="宋体" w:hAnsi="宋体" w:cs="宋体"/>
          <w:sz w:val="24"/>
          <w:highlight w:val="none"/>
        </w:rPr>
        <w:t xml:space="preserve">乙方提供的产品必须为原装正品，严禁帖牌、伪造，应为全新未使用的产品，性能及质量有国家标准的应符合国家标准。无国家标准的应符合行业标准或企业标准，并满足招标文件要求，实现投标文件承诺条款。符合招标文件技术参数要求。</w:t>
      </w:r>
      <w:r>
        <w:rPr>
          <w:rFonts w:hint="eastAsia" w:ascii="宋体" w:hAnsi="宋体" w:cs="宋体"/>
          <w:sz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四、实施方式及费用</w:t>
      </w:r>
      <w:r>
        <w:rPr>
          <w:rFonts w:hint="eastAsia" w:ascii="宋体" w:hAnsi="宋体" w:cs="宋体"/>
          <w:b/>
          <w:sz w:val="24"/>
          <w:szCs w:val="24"/>
          <w:highlight w:val="none"/>
        </w:rPr>
      </w:r>
      <w:r/>
    </w:p>
    <w:p>
      <w:pPr>
        <w:pStyle w:val="664"/>
        <w:ind w:firstLine="480"/>
        <w:jc w:val="left"/>
        <w:spacing w:after="200" w:line="440" w:lineRule="exact"/>
        <w:rPr>
          <w:rFonts w:hint="eastAsia" w:ascii="宋体" w:hAnsi="宋体" w:cs="宋体"/>
          <w:sz w:val="24"/>
          <w:szCs w:val="24"/>
          <w:highlight w:val="none"/>
        </w:rPr>
      </w:pPr>
      <w:r>
        <w:rPr>
          <w:rFonts w:hint="eastAsia" w:ascii="宋体" w:hAnsi="宋体" w:cs="宋体"/>
          <w:sz w:val="24"/>
          <w:szCs w:val="24"/>
          <w:highlight w:val="none"/>
        </w:rPr>
        <w:t xml:space="preserve">乙方负责把货物运至甲方指定的位置(如产生搬运费用由乙方支付)，乙方承担运输义务，运输过程中的各种风险由乙方承担；实施方式由乙方视情况自定，费用自负。</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五、验收</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 xml:space="preserve">在</w:t>
      </w:r>
      <w:r>
        <w:rPr>
          <w:rFonts w:hint="eastAsia" w:ascii="宋体" w:hAnsi="宋体" w:cs="宋体"/>
          <w:sz w:val="24"/>
          <w:highlight w:val="none"/>
        </w:rPr>
        <w:t xml:space="preserve">货物</w:t>
      </w:r>
      <w:r>
        <w:rPr>
          <w:rFonts w:hint="eastAsia" w:ascii="宋体" w:hAnsi="宋体" w:cs="宋体"/>
          <w:sz w:val="24"/>
          <w:highlight w:val="none"/>
        </w:rPr>
        <w:t xml:space="preserve">进场并安装调试后，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经济责任（损失已包括但不限于重新招投标的损失，为主张权利，发生的律师费、诉讼费、财产保全费、保全担保费、差旅费等所有损失）。</w:t>
      </w:r>
      <w:r>
        <w:rPr>
          <w:rFonts w:hint="eastAsia" w:ascii="宋体" w:hAnsi="宋体" w:cs="宋体"/>
          <w:sz w:val="24"/>
          <w:highlight w:val="none"/>
        </w:rPr>
      </w:r>
      <w:r/>
    </w:p>
    <w:p>
      <w:pPr>
        <w:pStyle w:val="664"/>
        <w:ind w:firstLine="480"/>
        <w:spacing w:line="440" w:lineRule="exact"/>
        <w:rPr>
          <w:rFonts w:hint="eastAsia" w:ascii="宋体" w:hAnsi="宋体" w:cs="宋体"/>
          <w:sz w:val="24"/>
          <w:highlight w:val="none"/>
        </w:rPr>
      </w:pPr>
      <w:r>
        <w:rPr>
          <w:rFonts w:hint="eastAsia" w:ascii="宋体" w:hAnsi="宋体" w:cs="宋体"/>
          <w:bCs/>
          <w:sz w:val="24"/>
          <w:highlight w:val="none"/>
        </w:rPr>
        <w:t xml:space="preserve">2、甲方组建验收小组，验收小组由三人以上组成，按采购合同约定的时间组织验收，并出具验收报告。</w:t>
      </w:r>
      <w:r>
        <w:rPr>
          <w:rFonts w:hint="eastAsia" w:ascii="宋体" w:hAnsi="宋体" w:cs="宋体"/>
          <w:sz w:val="24"/>
          <w:highlight w:val="none"/>
        </w:rPr>
      </w:r>
      <w:r/>
    </w:p>
    <w:p>
      <w:pPr>
        <w:pStyle w:val="664"/>
        <w:ind w:firstLine="480"/>
        <w:spacing w:line="44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t xml:space="preserve">甲方在验收中，如发现有与合同规定不符的，应向乙方提出书面意见，不签发验收单，并同时将该书面意见提交至财政监管部门。乙方在接到甲方书面意见后，应在</w:t>
      </w:r>
      <w:r>
        <w:rPr>
          <w:rFonts w:hint="eastAsia" w:ascii="宋体" w:hAnsi="宋体" w:cs="宋体"/>
          <w:sz w:val="24"/>
          <w:highlight w:val="none"/>
          <w:u w:val="single"/>
        </w:rPr>
        <w:t xml:space="preserve">2</w:t>
      </w:r>
      <w:r>
        <w:rPr>
          <w:rFonts w:hint="eastAsia" w:ascii="宋体" w:hAnsi="宋体" w:cs="宋体"/>
          <w:sz w:val="24"/>
          <w:highlight w:val="none"/>
        </w:rPr>
        <w:t xml:space="preserve">天内予以处理，并将处理结果以书面形式告知甲方。</w:t>
      </w:r>
      <w:r>
        <w:rPr>
          <w:rFonts w:hint="eastAsia" w:ascii="宋体" w:hAnsi="宋体" w:cs="宋体"/>
          <w:sz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highlight w:val="none"/>
        </w:rPr>
        <w:t xml:space="preserve">4、货物不能通过验收的，将按照退货处理，乙方应在甲方限定时间内予以更换符合要求的货物。</w:t>
      </w:r>
      <w:r>
        <w:rPr>
          <w:rFonts w:hint="eastAsia" w:ascii="宋体" w:hAnsi="宋体" w:cs="宋体"/>
          <w:sz w:val="24"/>
          <w:szCs w:val="24"/>
          <w:highlight w:val="none"/>
        </w:rPr>
      </w:r>
      <w:r/>
    </w:p>
    <w:p>
      <w:pPr>
        <w:pStyle w:val="664"/>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六、付款方式：</w:t>
      </w:r>
      <w:r>
        <w:rPr>
          <w:rFonts w:hint="eastAsia" w:ascii="宋体" w:hAnsi="宋体" w:cs="宋体"/>
          <w:b/>
          <w:bCs/>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预付款：甲方②在收到供应商发票后10个工作日内，支付合同总金额的30%作为预付款； </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进度款：设备安装调试完毕经验收合格且审计结束后，甲方②在收到供应商发票后10个工作日内付至最终审定价的95%，维保期结束后付清余款（无息）。</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资金支付的主体：宿迁市楚润数据集团有限公司</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甲方①：江苏省宿迁市人民检察院 </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甲方②：宿迁市楚润数据集团有限公司</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注：1、在签订合同时，中标人明确表示无需预付款或者主动要求降低预付款比例的金额，采购人可不适用预付款规定。数字人民币为合同价款支付的一种方式。</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2、因财政资金（或代建款项）未及时拨付至甲方②处，造成甲方②延迟付款的，甲方②不承担逾期付款责任。</w:t>
      </w:r>
      <w:r>
        <w:rPr>
          <w:rFonts w:hint="eastAsia" w:ascii="宋体" w:hAnsi="宋体" w:cs="宋体"/>
          <w:sz w:val="24"/>
          <w:szCs w:val="24"/>
          <w:highlight w:val="none"/>
        </w:rPr>
      </w:r>
      <w:r/>
    </w:p>
    <w:p>
      <w:pPr>
        <w:pStyle w:val="664"/>
        <w:ind w:firstLine="47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七、售后服务</w:t>
      </w:r>
      <w:r>
        <w:rPr>
          <w:rFonts w:hint="eastAsia" w:ascii="宋体" w:hAnsi="宋体" w:cs="宋体"/>
          <w:b/>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1、验收合格之日起乙方对设备免费维保三年。维保期内，乙方对产品质量实行三包，因设备配置或制造质量问题而引起的故障，乙方应在24小时内立即予以免费更换，由此引起的费用由乙方承担。</w:t>
      </w:r>
      <w:r>
        <w:rPr>
          <w:rFonts w:hint="eastAsia" w:ascii="宋体" w:hAnsi="宋体" w:cs="宋体"/>
          <w:sz w:val="24"/>
          <w:szCs w:val="24"/>
          <w:highlight w:val="none"/>
        </w:rPr>
      </w:r>
      <w:r/>
    </w:p>
    <w:p>
      <w:pPr>
        <w:pStyle w:val="664"/>
        <w:ind w:firstLine="470"/>
        <w:spacing w:line="440" w:lineRule="exact"/>
        <w:rPr>
          <w:rFonts w:ascii="宋体" w:hAnsi="宋体" w:cs="宋体"/>
          <w:sz w:val="24"/>
          <w:szCs w:val="24"/>
          <w:highlight w:val="none"/>
        </w:rPr>
      </w:pPr>
      <w:r>
        <w:rPr>
          <w:rFonts w:hint="eastAsia" w:ascii="宋体" w:hAnsi="宋体" w:cs="宋体"/>
          <w:sz w:val="24"/>
          <w:szCs w:val="24"/>
          <w:highlight w:val="none"/>
        </w:rPr>
        <w:t xml:space="preserve">2、定制软件开发，需要提供软件代码，乙方同意将开发的软件源码提供给甲方使用。甲方有权在合同约定的范围内使用、修改和分发该源码。乙方有义务将维保工作做好，并做好无条件交接。</w:t>
      </w:r>
      <w:r>
        <w:rPr>
          <w:rFonts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3、技术支持响应时间。一般问题2小时内电话支持，难点、重点问题1天内现场解决，维保期内相关费用由乙方承担，维保期满后乙方收取成本费。</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4、产品到货后乙方根据甲方需求安排专职工程师上门安装、调试，同时集中进行培训，内容包括使用、日常维护及现场操作，保证能够正常使用。</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5、乙方未在上述规定时间内履行维保义务的，甲方可委托第三方代为处理，由此产生的费用及损失均由乙方承担，每出现一次，由乙方向甲方支付合同总额2%违约金（可在应付款项中扣除）。</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注：乙方投标承诺中售后服务方案优于上述要求的，优先执行投标承诺内容。</w:t>
      </w:r>
      <w:r>
        <w:rPr>
          <w:rFonts w:hint="eastAsia" w:ascii="宋体" w:hAnsi="宋体" w:cs="宋体"/>
          <w:sz w:val="24"/>
          <w:szCs w:val="24"/>
          <w:highlight w:val="none"/>
        </w:rPr>
      </w:r>
      <w:r/>
    </w:p>
    <w:p>
      <w:pPr>
        <w:pStyle w:val="664"/>
        <w:ind w:firstLine="47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八、培训要求</w:t>
      </w:r>
      <w:r>
        <w:rPr>
          <w:rFonts w:hint="eastAsia" w:ascii="宋体" w:hAnsi="宋体" w:cs="宋体"/>
          <w:b/>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乙方须派有设备操作、管理、维护经验的工程师，对甲方的人员进行优质的培训服务。对设备的使用、操作、维护、故障排除等进行免费培训，并提供安装使用维护说明书，以确保甲方能够对设备有足够的了解，能够独立进行日常操作、管理和维护。</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2、乙方至少提供2次培训服务，每次不少于8小时，培训地点由甲方指定，包括但不限于使用单位内。乙方须为所有被培训人员提供培训用文字资料和讲义等相关用品。所有的资料必须是中文书写。</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所有的培训费用包括差旅、食宿、教材、资料费等由乙方负责，均计入投标报价中。</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九、违约条款</w:t>
      </w:r>
      <w:r>
        <w:rPr>
          <w:rFonts w:hint="eastAsia" w:ascii="宋体" w:hAnsi="宋体" w:cs="宋体"/>
          <w:b/>
          <w:sz w:val="24"/>
          <w:szCs w:val="24"/>
          <w:highlight w:val="none"/>
        </w:rPr>
      </w:r>
      <w:r/>
    </w:p>
    <w:p>
      <w:pPr>
        <w:pStyle w:val="664"/>
        <w:ind w:firstLine="470"/>
        <w:spacing w:line="44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1、</w:t>
      </w:r>
      <w:r>
        <w:rPr>
          <w:rFonts w:hint="eastAsia" w:ascii="宋体" w:hAnsi="宋体" w:cs="宋体"/>
          <w:sz w:val="24"/>
          <w:szCs w:val="24"/>
          <w:highlight w:val="none"/>
          <w:lang w:val="zh-CN"/>
        </w:rPr>
        <w:t xml:space="preserve">乙方逾期履行本合同</w:t>
      </w:r>
      <w:r>
        <w:rPr>
          <w:rFonts w:hint="eastAsia" w:ascii="宋体" w:hAnsi="宋体" w:cs="宋体"/>
          <w:sz w:val="24"/>
          <w:szCs w:val="24"/>
          <w:highlight w:val="none"/>
        </w:rPr>
        <w:t xml:space="preserve">的约定或其他义务的</w:t>
      </w:r>
      <w:r>
        <w:rPr>
          <w:rFonts w:hint="eastAsia" w:ascii="宋体" w:hAnsi="宋体" w:cs="宋体"/>
          <w:sz w:val="24"/>
          <w:szCs w:val="24"/>
          <w:highlight w:val="none"/>
          <w:lang w:val="zh-CN"/>
        </w:rPr>
        <w:t xml:space="preserve">，每逾期一日应向甲方支付合同</w:t>
      </w:r>
      <w:r>
        <w:rPr>
          <w:rFonts w:hint="eastAsia" w:ascii="宋体" w:hAnsi="宋体" w:cs="宋体"/>
          <w:sz w:val="24"/>
          <w:szCs w:val="24"/>
          <w:highlight w:val="none"/>
          <w:lang w:eastAsia="en-US"/>
        </w:rPr>
        <w:t xml:space="preserve">总额</w:t>
      </w:r>
      <w:r>
        <w:rPr>
          <w:rFonts w:hint="eastAsia" w:ascii="宋体" w:hAnsi="宋体" w:cs="宋体"/>
          <w:sz w:val="24"/>
          <w:szCs w:val="24"/>
          <w:highlight w:val="none"/>
          <w:lang w:val="zh-CN"/>
        </w:rPr>
        <w:t xml:space="preserve">3‰的违约金。如乙方逾期履行达15日，甲方有权单方解除合同，解除合同的通知自送达乙方时生效。甲方选择解除合同的，乙方须返还已付款项，并按合同总额30%支付违约金。 </w:t>
      </w:r>
      <w:r>
        <w:rPr>
          <w:rFonts w:hint="eastAsia" w:ascii="宋体" w:hAnsi="宋体" w:cs="宋体"/>
          <w:sz w:val="24"/>
          <w:szCs w:val="24"/>
          <w:highlight w:val="none"/>
          <w:lang w:val="zh-CN"/>
        </w:rPr>
      </w:r>
      <w:r/>
    </w:p>
    <w:p>
      <w:pPr>
        <w:pStyle w:val="664"/>
        <w:ind w:firstLine="470"/>
        <w:spacing w:line="440" w:lineRule="exact"/>
        <w:rPr>
          <w:rFonts w:hint="eastAsia" w:ascii="宋体" w:hAnsi="宋体" w:cs="宋体"/>
          <w:sz w:val="24"/>
          <w:szCs w:val="24"/>
          <w:highlight w:val="none"/>
          <w:lang w:val="zh-CN"/>
        </w:rPr>
      </w:pPr>
      <w:r>
        <w:rPr>
          <w:rFonts w:hint="eastAsia" w:ascii="宋体" w:hAnsi="宋体" w:cs="宋体"/>
          <w:sz w:val="24"/>
          <w:szCs w:val="24"/>
          <w:highlight w:val="none"/>
        </w:rPr>
        <w:t xml:space="preserve">2、</w:t>
      </w:r>
      <w:r>
        <w:rPr>
          <w:rFonts w:hint="eastAsia" w:ascii="宋体" w:hAnsi="宋体" w:cs="宋体"/>
          <w:sz w:val="24"/>
          <w:szCs w:val="24"/>
          <w:highlight w:val="none"/>
          <w:lang w:val="zh-CN"/>
        </w:rPr>
        <w:t xml:space="preserve">本项目不得转让、分包，如有发生，甲方有权解除合同，有权要求乙方退还甲方已付款项，并由乙方支付合同总额30%违约金。</w:t>
      </w:r>
      <w:r>
        <w:rPr>
          <w:rFonts w:hint="eastAsia" w:ascii="宋体" w:hAnsi="宋体" w:cs="宋体"/>
          <w:sz w:val="24"/>
          <w:szCs w:val="24"/>
          <w:highlight w:val="none"/>
          <w:lang w:val="zh-CN"/>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乙方未按本合同约定提供售后服务的，应按合同总额10%向甲方支付违约金，并承担非乙方提供的售后服务产生的费用（费用包括但不限于重新招投标的损失，为主张权利发生的律师费、诉讼费、财产保全费、保全担保费、差旅费等）。</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4、非因甲方原因，乙方不履行本合同的约定或其他义务的，甲方有权要求其进行整改，并要求乙方支付合同总额10%违约金；未按甲方要求进行整改的，甲方有权解除本合同，乙方须返还已付款项，乙方应支付合同总额30%的违约金。不足弥补甲方损失的，仍需赔偿（赔偿包括但不限于重新招投标的损失，为主张权利发生的律师费、诉讼费、财产保全费、保全担保费、差旅费等）。</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5、甲方未按约定期限付款的，应就逾期部分向乙方支付按全国银行间同业拆借中心公布的一年期贷款市场报价利率计算的逾期付款违约金。</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6、违约方应承担守约方主张权益产生的费用（包括但不限于重新招投标的损失，为主张权利发生的律师费、诉讼费、财产保全费、保全担保费、差旅费等）。</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7、在合同履行期间，因非可归于甲方的原因造成的乙方自身或者他人人身损害及财产损失，均由乙方自行承担。</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8、如果出现采购监督管理部门在处理投诉事项期间，书面通知甲方暂停采购活动的情形，或者询问或质疑事项可能影响中标结果的，导致甲方终止履行合同的情形，均不视为甲方违约。</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9、乙方拟派项</w:t>
      </w:r>
      <w:r>
        <w:rPr>
          <w:rFonts w:hint="eastAsia" w:ascii="宋体" w:hAnsi="宋体" w:cs="宋体"/>
          <w:sz w:val="24"/>
          <w:szCs w:val="24"/>
          <w:highlight w:val="none"/>
        </w:rPr>
        <w:t xml:space="preserve">目组人员离开工地需经甲方同意，若无正当理由且未经甲方同意不在工地的，乙方按每天2000元向甲方支付违约金；如项目经理未经甲方同意缺席一日或缺席一次例会，乙方同意向甲方支付违约金5000元整; 如一周有二个工作日或二个月累计10天不在现场或二个月缺席例会三次，为严重违约，甲方有权采取终止合同、没收履约保证金、停止支付货款，并要求乙方赔偿一切损失（费用包括但不限于重新招投标的损失，为主张权利发生的律师费、诉讼费、财产保全费、保全担保费、差旅费等）。乙方同意违约赔偿金在每次支付的货款中扣除，且乙方不存在任何异议。</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10、乙方不按时响应甲方要求的，乙方向甲方5000元/次的违约金。</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十、知识产权</w:t>
      </w:r>
      <w:r>
        <w:rPr>
          <w:rFonts w:hint="eastAsia" w:ascii="宋体" w:hAnsi="宋体" w:cs="宋体"/>
          <w:b/>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乙方所提供的货物（含软件）不应存在任何权利瑕疵，如乙方有侵犯第三方知识产权或欺诈行为的，乙方除返还合同价款、赔偿甲方损失外，还应向甲方支付相当于合同总价一倍的违约金。如果任何第三方就合同标的知识产权事宜向甲方提起侵权索赔，乙方应负责与之进行交涉，并承担由此引起的一切责任（包括但不限于重新招投标的损失，为主张权利发生的律师费、诉讼费、财产保全费、保全担保费、差旅费等）。</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十一、争议处理</w:t>
      </w:r>
      <w:r>
        <w:rPr>
          <w:rFonts w:hint="eastAsia" w:ascii="宋体" w:hAnsi="宋体" w:cs="宋体"/>
          <w:b/>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1、本合同履行期间，如发生争议，甲乙双方应协商解决。如双方不愿通过协商解决，或协商解决不成时，可向甲方所在地人民法院提起诉讼。</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rPr>
          <w:rFonts w:hint="eastAsia" w:ascii="宋体" w:hAnsi="宋体" w:cs="宋体"/>
          <w:sz w:val="24"/>
          <w:szCs w:val="24"/>
          <w:highlight w:val="none"/>
        </w:rPr>
      </w:r>
      <w:r/>
    </w:p>
    <w:p>
      <w:pPr>
        <w:pStyle w:val="664"/>
        <w:ind w:firstLine="47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任何一方由于不可抗力原因致使本合同无法继续履行或完全履行的，应在不可抗力事件发生后3日内向对方通报，并尽最大努力予以补救，减轻可能给对方造成的损失，在取得有关机构的不可抗力证明后，允许延期履行、部分履行或者不履行合同，并根据情况可部分或全部免予承担违约责任。 </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十二、合同生效及审核</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本合同经甲方、乙方签字盖章后生效，合同签订的内容不能超出采购文件和响应文件的实质性内容。</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十三、合同的组成部分</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本合同条款、中标通知书、招标文件、投标文件及乙方在开标时的书面承诺等构成合同的组成部分。</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下述文件是构成本合同协议书不可分割的一部分，并与本合同协议书一起阅读和解释：</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第一部分  合同及附件</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第二部分  中标通知书</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第三部分  澄清文件</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第四部分  合同条款</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（一）专用合同条款</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（二）通用合同条款</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第五部分  技术规格书</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第六部分  价格清单</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第七部分  投标文件（另册）</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第八部分  构成本合同文件的其它文件</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上述文件应视为是不可分割、互为补充和解释的，应一并阅读和解释。若有不明确或不一致之处，以上面所列顺序在前或时间在后者为准。</w:t>
      </w:r>
      <w:r>
        <w:rPr>
          <w:rFonts w:hint="eastAsia" w:ascii="宋体" w:hAnsi="宋体" w:cs="宋体"/>
          <w:sz w:val="24"/>
          <w:szCs w:val="24"/>
          <w:highlight w:val="none"/>
        </w:rPr>
      </w:r>
      <w:r/>
    </w:p>
    <w:p>
      <w:pPr>
        <w:pStyle w:val="664"/>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十四、项目组人员</w:t>
      </w:r>
      <w:r>
        <w:rPr>
          <w:rFonts w:hint="eastAsia" w:ascii="宋体" w:hAnsi="宋体" w:cs="宋体"/>
          <w:b/>
          <w:bCs/>
          <w:sz w:val="24"/>
          <w:szCs w:val="24"/>
          <w:highlight w:val="none"/>
        </w:rPr>
      </w:r>
      <w:r/>
    </w:p>
    <w:p>
      <w:pPr>
        <w:pStyle w:val="664"/>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项目管理、技术及售后服务人员一览表</w:t>
      </w:r>
      <w:r>
        <w:rPr>
          <w:rFonts w:hint="eastAsia" w:ascii="宋体" w:hAnsi="宋体" w:cs="宋体"/>
          <w:b/>
          <w:bCs/>
          <w:sz w:val="24"/>
          <w:highlight w:val="none"/>
        </w:rPr>
      </w:r>
      <w:r/>
    </w:p>
    <w:tbl>
      <w:tblPr>
        <w:tblpPr w:horzAnchor="margin" w:tblpXSpec="center" w:vertAnchor="text" w:tblpY="7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2150"/>
        <w:gridCol w:w="1038"/>
        <w:gridCol w:w="1612"/>
        <w:gridCol w:w="1208"/>
        <w:gridCol w:w="1245"/>
      </w:tblGrid>
      <w:tr>
        <w:trPr>
          <w:trHeight w:val="658"/>
        </w:trPr>
        <w:tc>
          <w:tcPr>
            <w:tcW w:w="1188" w:type="dxa"/>
            <w:vAlign w:val="center"/>
            <w:textDirection w:val="lrTb"/>
            <w:noWrap w:val="false"/>
          </w:tcPr>
          <w:p>
            <w:pPr>
              <w:pStyle w:val="815"/>
              <w:jc w:val="center"/>
              <w:spacing w:before="100" w:beforeAutospacing="1" w:line="440" w:lineRule="exact"/>
              <w:widowControl/>
              <w:rPr>
                <w:rFonts w:hint="eastAsia" w:ascii="宋体" w:hAnsi="宋体" w:cs="宋体"/>
                <w:sz w:val="24"/>
                <w:highlight w:val="none"/>
              </w:rPr>
              <w:framePr w:vAnchor="page" w:hAnchor="page" w:xAlign="center" w:y="74"/>
            </w:pPr>
            <w:r>
              <w:rPr>
                <w:rFonts w:hint="eastAsia" w:ascii="宋体" w:hAnsi="宋体" w:cs="宋体"/>
                <w:sz w:val="24"/>
                <w:highlight w:val="none"/>
              </w:rPr>
              <w:t xml:space="preserve">姓名</w:t>
            </w:r>
            <w:r>
              <w:rPr>
                <w:rFonts w:hint="eastAsia" w:ascii="宋体" w:hAnsi="宋体" w:cs="宋体"/>
                <w:sz w:val="24"/>
                <w:highlight w:val="none"/>
              </w:rPr>
            </w:r>
            <w:r/>
          </w:p>
        </w:tc>
        <w:tc>
          <w:tcPr>
            <w:tcW w:w="2150" w:type="dxa"/>
            <w:vAlign w:val="center"/>
            <w:textDirection w:val="lrTb"/>
            <w:noWrap w:val="false"/>
          </w:tcPr>
          <w:p>
            <w:pPr>
              <w:pStyle w:val="815"/>
              <w:jc w:val="center"/>
              <w:spacing w:before="100" w:beforeAutospacing="1" w:line="440" w:lineRule="exact"/>
              <w:widowControl/>
              <w:rPr>
                <w:rFonts w:hint="eastAsia" w:ascii="宋体" w:hAnsi="宋体" w:cs="宋体"/>
                <w:sz w:val="24"/>
                <w:highlight w:val="none"/>
              </w:rPr>
              <w:framePr w:vAnchor="page" w:hAnchor="page" w:xAlign="center" w:y="74"/>
            </w:pPr>
            <w:r>
              <w:rPr>
                <w:rFonts w:hint="eastAsia" w:ascii="宋体" w:hAnsi="宋体" w:cs="宋体"/>
                <w:sz w:val="24"/>
                <w:highlight w:val="none"/>
              </w:rPr>
              <w:t xml:space="preserve">本项目拟任职务</w:t>
            </w:r>
            <w:r>
              <w:rPr>
                <w:rFonts w:hint="eastAsia" w:ascii="宋体" w:hAnsi="宋体" w:cs="宋体"/>
                <w:sz w:val="24"/>
                <w:highlight w:val="none"/>
              </w:rPr>
            </w:r>
            <w:r/>
          </w:p>
        </w:tc>
        <w:tc>
          <w:tcPr>
            <w:tcW w:w="1038" w:type="dxa"/>
            <w:vAlign w:val="center"/>
            <w:textDirection w:val="lrTb"/>
            <w:noWrap w:val="false"/>
          </w:tcPr>
          <w:p>
            <w:pPr>
              <w:pStyle w:val="815"/>
              <w:spacing w:before="100" w:beforeAutospacing="1" w:line="440" w:lineRule="exact"/>
              <w:widowControl/>
              <w:rPr>
                <w:rFonts w:hint="eastAsia" w:ascii="宋体" w:hAnsi="宋体" w:cs="宋体"/>
                <w:sz w:val="24"/>
                <w:highlight w:val="none"/>
              </w:rPr>
              <w:framePr w:vAnchor="page" w:hAnchor="page" w:xAlign="center" w:y="74"/>
            </w:pPr>
            <w:r>
              <w:rPr>
                <w:rFonts w:hint="eastAsia" w:ascii="宋体" w:hAnsi="宋体" w:cs="宋体"/>
                <w:sz w:val="24"/>
                <w:highlight w:val="none"/>
              </w:rPr>
              <w:t xml:space="preserve">学历</w:t>
            </w:r>
            <w:r>
              <w:rPr>
                <w:rFonts w:hint="eastAsia" w:ascii="宋体" w:hAnsi="宋体" w:cs="宋体"/>
                <w:sz w:val="24"/>
                <w:highlight w:val="none"/>
              </w:rPr>
            </w:r>
            <w:r/>
          </w:p>
        </w:tc>
        <w:tc>
          <w:tcPr>
            <w:tcW w:w="1612" w:type="dxa"/>
            <w:vAlign w:val="center"/>
            <w:textDirection w:val="lrTb"/>
            <w:noWrap w:val="false"/>
          </w:tcPr>
          <w:p>
            <w:pPr>
              <w:pStyle w:val="815"/>
              <w:jc w:val="center"/>
              <w:spacing w:before="100" w:beforeAutospacing="1" w:line="440" w:lineRule="exact"/>
              <w:widowControl/>
              <w:rPr>
                <w:rFonts w:hint="eastAsia" w:ascii="宋体" w:hAnsi="宋体" w:cs="宋体"/>
                <w:sz w:val="24"/>
                <w:highlight w:val="none"/>
              </w:rPr>
              <w:framePr w:vAnchor="page" w:hAnchor="page" w:xAlign="center" w:y="74"/>
            </w:pPr>
            <w:r>
              <w:rPr>
                <w:rFonts w:hint="eastAsia" w:ascii="宋体" w:hAnsi="宋体" w:cs="宋体"/>
                <w:sz w:val="24"/>
                <w:highlight w:val="none"/>
              </w:rPr>
              <w:t xml:space="preserve">身份证号</w:t>
            </w:r>
            <w:r>
              <w:rPr>
                <w:rFonts w:hint="eastAsia" w:ascii="宋体" w:hAnsi="宋体" w:cs="宋体"/>
                <w:sz w:val="24"/>
                <w:highlight w:val="none"/>
              </w:rPr>
            </w:r>
            <w:r/>
          </w:p>
        </w:tc>
        <w:tc>
          <w:tcPr>
            <w:tcW w:w="1208" w:type="dxa"/>
            <w:vAlign w:val="center"/>
            <w:textDirection w:val="lrTb"/>
            <w:noWrap w:val="false"/>
          </w:tcPr>
          <w:p>
            <w:pPr>
              <w:pStyle w:val="815"/>
              <w:jc w:val="center"/>
              <w:spacing w:before="100" w:beforeAutospacing="1" w:line="440" w:lineRule="exact"/>
              <w:widowControl/>
              <w:rPr>
                <w:rFonts w:hint="eastAsia" w:ascii="宋体" w:hAnsi="宋体" w:cs="宋体"/>
                <w:sz w:val="24"/>
                <w:highlight w:val="none"/>
              </w:rPr>
              <w:framePr w:vAnchor="page" w:hAnchor="page" w:xAlign="center" w:y="74"/>
            </w:pPr>
            <w:r>
              <w:rPr>
                <w:rFonts w:hint="eastAsia" w:ascii="宋体" w:hAnsi="宋体" w:cs="宋体"/>
                <w:sz w:val="24"/>
                <w:highlight w:val="none"/>
              </w:rPr>
              <w:t xml:space="preserve">资格证书</w:t>
            </w:r>
            <w:r>
              <w:rPr>
                <w:rFonts w:hint="eastAsia" w:ascii="宋体" w:hAnsi="宋体" w:cs="宋体"/>
                <w:sz w:val="24"/>
                <w:highlight w:val="none"/>
              </w:rPr>
            </w:r>
            <w:r/>
          </w:p>
        </w:tc>
        <w:tc>
          <w:tcPr>
            <w:tcW w:w="1245" w:type="dxa"/>
            <w:vAlign w:val="center"/>
            <w:textDirection w:val="lrTb"/>
            <w:noWrap w:val="false"/>
          </w:tcPr>
          <w:p>
            <w:pPr>
              <w:pStyle w:val="815"/>
              <w:jc w:val="center"/>
              <w:spacing w:before="100" w:beforeAutospacing="1" w:line="440" w:lineRule="exact"/>
              <w:widowControl/>
              <w:rPr>
                <w:rFonts w:hint="eastAsia" w:ascii="宋体" w:hAnsi="宋体" w:cs="宋体"/>
                <w:sz w:val="24"/>
                <w:highlight w:val="none"/>
              </w:rPr>
              <w:framePr w:vAnchor="page" w:hAnchor="page" w:xAlign="center" w:y="74"/>
            </w:pPr>
            <w:r>
              <w:rPr>
                <w:rFonts w:hint="eastAsia" w:ascii="宋体" w:hAnsi="宋体" w:cs="宋体"/>
                <w:sz w:val="24"/>
                <w:highlight w:val="none"/>
              </w:rPr>
              <w:t xml:space="preserve">备注</w:t>
            </w:r>
            <w:r>
              <w:rPr>
                <w:rFonts w:hint="eastAsia" w:ascii="宋体" w:hAnsi="宋体" w:cs="宋体"/>
                <w:sz w:val="24"/>
                <w:highlight w:val="none"/>
              </w:rPr>
            </w:r>
            <w:r/>
          </w:p>
        </w:tc>
      </w:tr>
      <w:tr>
        <w:trPr>
          <w:trHeight w:val="729"/>
        </w:trPr>
        <w:tc>
          <w:tcPr>
            <w:tcW w:w="118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2150"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03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612"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0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45"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r>
      <w:tr>
        <w:trPr>
          <w:trHeight w:val="729"/>
        </w:trPr>
        <w:tc>
          <w:tcPr>
            <w:tcW w:w="118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2150"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03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612"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0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45"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r>
      <w:tr>
        <w:trPr>
          <w:trHeight w:val="729"/>
        </w:trPr>
        <w:tc>
          <w:tcPr>
            <w:tcW w:w="118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2150"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03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612"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0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45"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r>
      <w:tr>
        <w:trPr>
          <w:trHeight w:val="729"/>
        </w:trPr>
        <w:tc>
          <w:tcPr>
            <w:tcW w:w="118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2150"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03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612"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0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45"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r>
      <w:tr>
        <w:trPr>
          <w:trHeight w:val="729"/>
        </w:trPr>
        <w:tc>
          <w:tcPr>
            <w:tcW w:w="118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2150"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03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612"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0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45"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r>
      <w:tr>
        <w:trPr>
          <w:trHeight w:val="729"/>
        </w:trPr>
        <w:tc>
          <w:tcPr>
            <w:tcW w:w="118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2150"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03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612"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0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45"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r>
      <w:tr>
        <w:trPr>
          <w:trHeight w:val="729"/>
        </w:trPr>
        <w:tc>
          <w:tcPr>
            <w:tcW w:w="118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2150"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03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612"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08"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c>
          <w:tcPr>
            <w:tcW w:w="1245" w:type="dxa"/>
            <w:vAlign w:val="center"/>
            <w:textDirection w:val="lrTb"/>
            <w:noWrap w:val="false"/>
          </w:tcPr>
          <w:p>
            <w:pPr>
              <w:pStyle w:val="815"/>
              <w:jc w:val="center"/>
              <w:spacing w:line="440" w:lineRule="exact"/>
              <w:rPr>
                <w:rFonts w:hint="eastAsia" w:ascii="宋体" w:hAnsi="宋体" w:cs="宋体"/>
                <w:sz w:val="24"/>
                <w:highlight w:val="none"/>
              </w:rPr>
              <w:framePr w:vAnchor="page" w:hAnchor="page" w:xAlign="center" w:y="74"/>
            </w:pPr>
            <w:r>
              <w:rPr>
                <w:rFonts w:hint="eastAsia" w:ascii="宋体" w:hAnsi="宋体" w:cs="宋体"/>
                <w:sz w:val="24"/>
                <w:highlight w:val="none"/>
              </w:rPr>
            </w:r>
            <w:r/>
          </w:p>
        </w:tc>
      </w:tr>
    </w:tbl>
    <w:p>
      <w:pPr>
        <w:pStyle w:val="664"/>
        <w:ind w:firstLine="482"/>
        <w:spacing w:line="440" w:lineRule="exact"/>
        <w:rPr>
          <w:rFonts w:hint="eastAsia" w:ascii="宋体" w:hAnsi="宋体" w:cs="宋体"/>
          <w:b/>
          <w:sz w:val="24"/>
          <w:szCs w:val="24"/>
          <w:highlight w:val="none"/>
        </w:rPr>
      </w:pPr>
      <w:r/>
      <w:bookmarkStart w:id="256" w:name="_Toc368067480"/>
      <w:r/>
      <w:bookmarkStart w:id="257" w:name="_Toc520903655"/>
      <w:r/>
      <w:bookmarkStart w:id="258" w:name="_Toc286416823"/>
      <w:r/>
      <w:bookmarkStart w:id="259" w:name="_Toc453688800"/>
      <w:r>
        <w:rPr>
          <w:rFonts w:hint="eastAsia" w:ascii="宋体" w:hAnsi="宋体" w:cs="宋体"/>
          <w:b/>
          <w:sz w:val="24"/>
          <w:szCs w:val="24"/>
          <w:highlight w:val="none"/>
        </w:rPr>
        <w:t xml:space="preserve">十五、合同变更</w:t>
      </w:r>
      <w:bookmarkEnd w:id="256"/>
      <w:r/>
      <w:bookmarkEnd w:id="257"/>
      <w:r/>
      <w:bookmarkEnd w:id="258"/>
      <w:r/>
      <w:bookmarkEnd w:id="259"/>
      <w:r>
        <w:rPr>
          <w:rFonts w:hint="eastAsia" w:ascii="宋体" w:hAnsi="宋体" w:cs="宋体"/>
          <w:b/>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15.1乙方原则上不得提出变更要求，由于乙方的原因而引起的变更，甲方将不承担任何责任，也不给予工期上的延长，造成甲方损失的，乙方要承担全部责任。</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15.2甲方可以根据实际进度在任何时候书面向乙方发出指令，在本合同的一般范围内变更下述一项或几项：</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（1）合同项下提供的货物是专为甲方制造时，变更图纸、设计或规格；</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（2）运输或包装的方法；</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（3）交货地点；</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（4）乙方提供货物的规格型号及数量；</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（5）乙方提供的服务内容。</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15.3乙方可以根据工程实际需要以书面形式提出合同变更请求。所有合同变更请求的内容中必须包括变更项目的必要性、技术合理性、变更范围、工程量及投资变化、可能引起的连带变更等内容和有关变更立项审查会议纪要等附件内容。</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15.4如果上述变更使乙方履行合同义务的费用或时间增加或减少，将对合同价或交货时间或两者可进行公平的调整，同时相应修改合同。乙方根据本条进行调整的要求必须在收到甲方的变更通知后十天内提出。</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15.5甲方在执行合同期间的任何时间内有权对工程作变更、修改、删除、增加或做其它改变。这些变更应被视为合同的组成部分，乙方应履行这些变更并受同样条件约束。</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15.6如甲方根据本条款要做出合同变更，甲方应将此类变更的性质和方式通知乙方。</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15.7在收到该通知后，乙方应尽快向甲方提交变更立项书，内容包括：</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（1）将要实施的工作的说明（如有时）以及工作的实施进度计划；</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（2）对进度计划或对本合同项下的乙方义务进行任何必要的修改的建议；</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（3）乙方对合同价格调整的建议。</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收到乙方的上述递呈，并在与乙方适当协商后，甲方应尽快决定是否进行变更。</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bookmarkStart w:id="260" w:name="_Hlk509651814"/>
      <w:r>
        <w:rPr>
          <w:rFonts w:hint="eastAsia" w:ascii="宋体" w:hAnsi="宋体" w:cs="宋体"/>
          <w:bCs/>
          <w:sz w:val="24"/>
          <w:szCs w:val="24"/>
          <w:highlight w:val="none"/>
        </w:rPr>
        <w:t xml:space="preserve">15.8合同变更时，甲乙双方按下述方式确定调整合同价格：</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bookmarkEnd w:id="260"/>
      <w:r>
        <w:rPr>
          <w:rFonts w:hint="eastAsia" w:ascii="宋体" w:hAnsi="宋体" w:cs="宋体"/>
          <w:bCs/>
          <w:sz w:val="24"/>
          <w:szCs w:val="24"/>
          <w:highlight w:val="none"/>
        </w:rPr>
        <w:t xml:space="preserve">对合同中已有项目的增加或删除，按合同已列明的单价计算调整合同价格；</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对合同中已明确并有定价的选项及替代方案，按合同列明的相应的金额计算；</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bookmarkStart w:id="261" w:name="_Hlk509651863"/>
      <w:r>
        <w:rPr>
          <w:rFonts w:hint="eastAsia" w:ascii="宋体" w:hAnsi="宋体" w:cs="宋体"/>
          <w:bCs/>
          <w:sz w:val="24"/>
          <w:szCs w:val="24"/>
          <w:highlight w:val="none"/>
        </w:rPr>
        <w:t xml:space="preserve">对合同中尚未明确和定价的选项及替代方案，其金额须由合同双方按以下一种或多种方法协商确定：</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bookmarkEnd w:id="261"/>
      <w:r>
        <w:rPr>
          <w:rFonts w:hint="eastAsia" w:ascii="宋体" w:hAnsi="宋体" w:cs="宋体"/>
          <w:bCs/>
          <w:sz w:val="24"/>
          <w:szCs w:val="24"/>
          <w:highlight w:val="none"/>
        </w:rPr>
        <w:t xml:space="preserve">a）根据合同规定的原则计出总价；</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b）根据合同中类似货物单价和/或单位费率计算而计出总价；</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c）根据合同价格类推和/或按比例计算而计出总价；</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d）根据合同规定的相应成本确定。</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15.9如果乙方认为，任何修改方案可能阻碍或不利于履行合同义务，则乙方应按合同约定以书面形式向甲方提出其意见。</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15.10如果乙方认为，甲方的任何指示、指令、决定、任何其它行为或疏漏，或与合同要求不符的行为，将会或已经对其履行合同造成负面影响，对乙方履约费用或进度计划或商业运行日期的执行有影响，则乙方应在五天内以书面形式按规定的格式向甲方发出“变更建议书”。</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15.11除合同另有规定外，任何对合同条件的修改、补充、变更均应根据合同相关方协商达成的协议，以规定的标准补充协议或变更指令形式，作为本合同不可分割的组成部分，具有与合同本身同样的效力。</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15.12合同相关方仅接受下列形式的文件作为合同的修改文件：</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（1）合同补充协议：经合同相关方协商，并经各自授权代表签字且加盖公章的合同补充协议。</w:t>
      </w:r>
      <w:r>
        <w:rPr>
          <w:rFonts w:hint="eastAsia" w:ascii="宋体" w:hAnsi="宋体" w:cs="宋体"/>
          <w:bCs/>
          <w:sz w:val="24"/>
          <w:szCs w:val="24"/>
          <w:highlight w:val="none"/>
        </w:rPr>
      </w:r>
      <w:r/>
    </w:p>
    <w:p>
      <w:pPr>
        <w:pStyle w:val="664"/>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（2）变更指令：合同清单价格调整按照变更管理办法执行，乙方提交的变更资料经甲方审核批准后，以甲方签发合同变更指令的形式出现。</w:t>
      </w:r>
      <w:r>
        <w:rPr>
          <w:rFonts w:hint="eastAsia" w:ascii="宋体" w:hAnsi="宋体" w:cs="宋体"/>
          <w:bCs/>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十六、合同份数</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本合同自双方签字盖章之日起生效；合同文书壹式肆份，甲方执</w:t>
      </w:r>
      <w:r>
        <w:rPr>
          <w:rFonts w:hint="eastAsia" w:ascii="宋体" w:hAnsi="宋体" w:cs="宋体"/>
          <w:sz w:val="24"/>
          <w:szCs w:val="24"/>
          <w:highlight w:val="none"/>
          <w:u w:val="single"/>
        </w:rPr>
        <w:t xml:space="preserve">贰</w:t>
      </w:r>
      <w:r>
        <w:rPr>
          <w:rFonts w:hint="eastAsia" w:ascii="宋体" w:hAnsi="宋体" w:cs="宋体"/>
          <w:sz w:val="24"/>
          <w:szCs w:val="24"/>
          <w:highlight w:val="none"/>
        </w:rPr>
        <w:t xml:space="preserve">份,乙方执</w:t>
      </w:r>
      <w:r>
        <w:rPr>
          <w:rFonts w:hint="eastAsia" w:ascii="宋体" w:hAnsi="宋体" w:cs="宋体"/>
          <w:sz w:val="24"/>
          <w:szCs w:val="24"/>
          <w:highlight w:val="none"/>
          <w:u w:val="single"/>
        </w:rPr>
        <w:t xml:space="preserve">贰</w:t>
      </w:r>
      <w:r>
        <w:rPr>
          <w:rFonts w:hint="eastAsia" w:ascii="宋体" w:hAnsi="宋体" w:cs="宋体"/>
          <w:sz w:val="24"/>
          <w:szCs w:val="24"/>
          <w:highlight w:val="none"/>
        </w:rPr>
        <w:t xml:space="preserve">份。</w:t>
      </w:r>
      <w:r>
        <w:rPr>
          <w:rFonts w:hint="eastAsia" w:ascii="宋体" w:hAnsi="宋体" w:cs="宋体"/>
          <w:sz w:val="24"/>
          <w:szCs w:val="24"/>
          <w:highlight w:val="none"/>
        </w:rPr>
      </w:r>
      <w:r/>
    </w:p>
    <w:p>
      <w:pPr>
        <w:pStyle w:val="664"/>
        <w:ind w:firstLine="482"/>
        <w:spacing w:line="440" w:lineRule="exact"/>
        <w:rPr>
          <w:rFonts w:hint="eastAsia" w:ascii="宋体" w:hAnsi="宋体" w:cs="宋体"/>
          <w:sz w:val="24"/>
          <w:szCs w:val="24"/>
          <w:highlight w:val="none"/>
        </w:rPr>
      </w:pPr>
      <w:r>
        <w:rPr>
          <w:rFonts w:hint="eastAsia" w:ascii="宋体" w:hAnsi="宋体" w:cs="宋体"/>
          <w:b/>
          <w:bCs/>
          <w:sz w:val="24"/>
          <w:szCs w:val="24"/>
          <w:highlight w:val="none"/>
        </w:rPr>
        <w:t xml:space="preserve">十七、</w:t>
      </w:r>
      <w:r>
        <w:rPr>
          <w:rFonts w:hint="eastAsia" w:ascii="宋体" w:hAnsi="宋体" w:cs="宋体"/>
          <w:sz w:val="24"/>
          <w:szCs w:val="24"/>
          <w:highlight w:val="none"/>
        </w:rPr>
        <w:t xml:space="preserve">本合同一切未尽事宜，按《民法典》有关规定执行，无相关规定的，由甲乙双方协商解决。</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664"/>
        <w:jc w:val="center"/>
        <w:spacing w:before="19"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第二部分  通用条款</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十八、词语涵义</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（一）合同：甲乙双方签署的、合同格式中载明的甲方与乙方所达成的协议，包括所有的附件、附录和构成合同的所有文件。</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（二）合同价：根据合同规定，乙方在正确地完全履行合同义务后甲方应支付给乙方的价格。</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（三）货物：乙方根据合同规定须向甲方提供的一切设备、机械、仪表、备件、工具、手册和其他技术资料及其他材料。</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（四）服务：根据合同规定甲方承担与供货有关的辅助服务，如运输、保险以及其它的伴随服务，比如安装、调试、提供技术援助、培训和其他类似的乙方应承担的义务。</w:t>
      </w:r>
      <w:r>
        <w:rPr>
          <w:rFonts w:hint="eastAsia" w:ascii="宋体" w:hAnsi="宋体" w:cs="宋体"/>
          <w:sz w:val="24"/>
          <w:szCs w:val="24"/>
          <w:highlight w:val="none"/>
        </w:rPr>
      </w:r>
      <w:r/>
    </w:p>
    <w:p>
      <w:pPr>
        <w:pStyle w:val="664"/>
        <w:ind w:firstLine="480"/>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（五）甲方：采购单位，即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（六）乙方：提供货物和服务的公司或实体，即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（七）不可抗力：指</w:t>
      </w:r>
      <w:r>
        <w:rPr>
          <w:rFonts w:hint="eastAsia" w:ascii="宋体" w:hAnsi="宋体" w:cs="宋体"/>
          <w:spacing w:val="8"/>
          <w:sz w:val="24"/>
          <w:szCs w:val="24"/>
          <w:highlight w:val="none"/>
        </w:rPr>
        <w:t xml:space="preserve">不能预见、不能避免和不能克服的客观情况，</w:t>
      </w:r>
      <w:r>
        <w:rPr>
          <w:rFonts w:hint="eastAsia" w:ascii="宋体" w:hAnsi="宋体" w:cs="宋体"/>
          <w:sz w:val="24"/>
          <w:szCs w:val="24"/>
          <w:highlight w:val="none"/>
        </w:rPr>
        <w:t xml:space="preserve">如战争、动乱、空中飞行物体坠落或其它非甲乙方责任造成的爆炸、火灾，以及协议条款约定等级以上的风、雨、雪、地震等。</w:t>
      </w:r>
      <w:r>
        <w:rPr>
          <w:rFonts w:hint="eastAsia" w:ascii="宋体" w:hAnsi="宋体" w:cs="宋体"/>
          <w:sz w:val="24"/>
          <w:szCs w:val="24"/>
          <w:highlight w:val="none"/>
        </w:rPr>
      </w:r>
      <w:r/>
    </w:p>
    <w:p>
      <w:pPr>
        <w:pStyle w:val="664"/>
        <w:ind w:firstLine="482"/>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十九、技术规格</w:t>
      </w:r>
      <w:r>
        <w:rPr>
          <w:rFonts w:hint="eastAsia" w:ascii="宋体" w:hAnsi="宋体" w:cs="宋体"/>
          <w:b/>
          <w:bCs/>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乙方所提供货物的技术规格应与招标文件规定的技术规格以及所附的技术规格响应表相一致。</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二十、专利权</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乙方应保证甲方在使用该货物或其任何一部分时不受第三方提出侵犯其专利权、商标权和工业设计权的起诉。一旦出现专利侵权，乙方应负全部责任。</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二十一、包装要求</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（二）每件包装箱内应附一份详细装箱单和质量合格标识。</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二十二、装运条件</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根据采购人指定地点，乙方负责安排运输，并承担运费。</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二十三、付款</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（一）本合同以人民币付款或数字人民币。</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（二）付款方式以专用条款中第六条付款方式为准。</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二十四、伴随服务</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乙方应按照国家有关规定和合同中所附的服务承诺提供服务，主要包括：</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（一）货物的现场安装；</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（二）提供货物组装和维修所需的工具；</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（三）在合同中乙方承诺的期限内对所提供货物实施运行监督、维修，该服务并不能免除乙方在质量保证期内应承担的义务；</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（四）在项目交货现场就货物的安装、启动、运行、维护对使用方人员进行培训。</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二十五、质量保证</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（一）乙方所提供的产品必须符合最新的国家标准和行业标准。</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二十六、检验</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甲方在乙方交货后及时组织验收，如果货物的质量和规格与合同规定相符，甲方应及时填写验收表，加盖公章后报相关单位；如果货物的质量、规格与合同规定不符，或在质量保证期内发现货物是有缺陷的（包括潜在缺陷或使用不符合要求的材料），甲方应报请法定检验机构进行检查，有权凭其出具的检验报告向乙方提出索赔。</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二十七、索赔</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1、乙方同意退货，按合同中规定的货币将货款退还给甲方，并承担由此发生的一切损失和费用，包括利息、银行手续费、运费、保险费、检验费、仓储费、装卸费以及为保护退回货物所需的其它必要费用。</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2、根据货物的低劣程度、损坏程度以及甲方所遭损失的数额，乙方须降低货物的价格。</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rPr>
          <w:rFonts w:hint="eastAsia" w:ascii="宋体" w:hAnsi="宋体" w:cs="宋体"/>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（二）在甲方发出索赔通知后20天内，如乙方未作答复，上述索赔应视为已被接受，按照本合同规定的任何一种方法解决索赔事宜，甲方将从应付款中扣除索赔金额或采用法律手段解决索赔事宜。</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二十八、误期赔偿</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二十九、不可抗力</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hint="eastAsia" w:ascii="宋体" w:hAnsi="宋体" w:cs="宋体"/>
          <w:sz w:val="24"/>
          <w:szCs w:val="24"/>
          <w:highlight w:val="none"/>
        </w:rPr>
      </w:r>
      <w:r/>
    </w:p>
    <w:p>
      <w:pPr>
        <w:pStyle w:val="664"/>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三十、税费</w:t>
      </w:r>
      <w:r>
        <w:rPr>
          <w:rFonts w:hint="eastAsia" w:ascii="宋体" w:hAnsi="宋体" w:cs="宋体"/>
          <w:b/>
          <w:sz w:val="24"/>
          <w:szCs w:val="24"/>
          <w:highlight w:val="none"/>
        </w:rPr>
      </w:r>
      <w:r/>
    </w:p>
    <w:p>
      <w:pPr>
        <w:pStyle w:val="664"/>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中国政府根据现行税法规定对甲方征收的与本合同有关的一切税费由甲方负担；规定对乙方征收的与本合同有关的一切税费由乙方负担。</w:t>
      </w:r>
      <w:r>
        <w:rPr>
          <w:rFonts w:hint="eastAsia" w:ascii="宋体" w:hAnsi="宋体" w:cs="宋体"/>
          <w:sz w:val="24"/>
          <w:szCs w:val="24"/>
          <w:highlight w:val="none"/>
        </w:rPr>
      </w:r>
      <w:r/>
    </w:p>
    <w:p>
      <w:pPr>
        <w:pStyle w:val="664"/>
        <w:ind w:right="105" w:firstLine="482"/>
        <w:spacing w:line="440" w:lineRule="exact"/>
        <w:widowControl/>
        <w:rPr>
          <w:rFonts w:hint="eastAsia" w:ascii="宋体" w:hAnsi="宋体" w:cs="宋体"/>
          <w:sz w:val="24"/>
          <w:szCs w:val="24"/>
          <w:highlight w:val="none"/>
        </w:rPr>
      </w:pPr>
      <w:r>
        <w:rPr>
          <w:rFonts w:hint="eastAsia" w:ascii="宋体" w:hAnsi="宋体" w:cs="宋体"/>
          <w:b/>
          <w:sz w:val="24"/>
          <w:szCs w:val="24"/>
          <w:highlight w:val="none"/>
        </w:rPr>
        <w:t xml:space="preserve">三十一、争议解决方式</w:t>
      </w:r>
      <w:r>
        <w:rPr>
          <w:rFonts w:hint="eastAsia" w:ascii="宋体" w:hAnsi="宋体" w:cs="宋体"/>
          <w:sz w:val="24"/>
          <w:szCs w:val="24"/>
          <w:highlight w:val="none"/>
        </w:rPr>
      </w:r>
      <w:r/>
    </w:p>
    <w:p>
      <w:pPr>
        <w:pStyle w:val="664"/>
        <w:ind w:right="105" w:firstLine="480"/>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甲乙双方因履行本合同发生纠纷时，可以协商解决，协商不成的，任何一方均向</w:t>
      </w:r>
      <w:r>
        <w:rPr>
          <w:rFonts w:hint="eastAsia" w:ascii="宋体" w:hAnsi="宋体" w:cs="宋体"/>
          <w:sz w:val="24"/>
          <w:szCs w:val="24"/>
          <w:highlight w:val="none"/>
          <w:u w:val="single"/>
        </w:rPr>
        <w:t xml:space="preserve">甲方所在地</w:t>
      </w:r>
      <w:r>
        <w:rPr>
          <w:rFonts w:hint="eastAsia" w:ascii="宋体" w:hAnsi="宋体" w:cs="宋体"/>
          <w:sz w:val="24"/>
          <w:szCs w:val="24"/>
          <w:highlight w:val="none"/>
        </w:rPr>
        <w:t xml:space="preserve">人民法院提起诉讼。</w:t>
      </w:r>
      <w:r>
        <w:rPr>
          <w:rFonts w:hint="eastAsia" w:ascii="宋体" w:hAnsi="宋体" w:cs="宋体"/>
          <w:sz w:val="24"/>
          <w:szCs w:val="24"/>
          <w:highlight w:val="none"/>
        </w:rPr>
      </w:r>
      <w:r/>
    </w:p>
    <w:p>
      <w:pPr>
        <w:pStyle w:val="664"/>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甲 方1：（公章）                      甲 方2：（公章） </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                               地  址： </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                 法定代表人或授权代表：</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                             联系电话：          </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乙 方：（公章）</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                </w:t>
      </w:r>
      <w:r>
        <w:rPr>
          <w:rFonts w:hint="eastAsia" w:ascii="宋体" w:hAnsi="宋体" w:cs="宋体"/>
          <w:sz w:val="24"/>
          <w:szCs w:val="24"/>
          <w:highlight w:val="none"/>
        </w:rPr>
      </w:r>
      <w:r/>
    </w:p>
    <w:p>
      <w:pPr>
        <w:pStyle w:val="664"/>
        <w:ind w:firstLine="6062"/>
        <w:spacing w:line="440" w:lineRule="exact"/>
        <w:rPr>
          <w:rFonts w:hint="eastAsia" w:ascii="宋体" w:hAnsi="宋体" w:cs="宋体"/>
          <w:sz w:val="24"/>
          <w:highlight w:val="none"/>
        </w:rPr>
      </w:pPr>
      <w:r>
        <w:rPr>
          <w:rFonts w:hint="eastAsia" w:ascii="宋体" w:hAnsi="宋体" w:cs="宋体"/>
          <w:sz w:val="24"/>
          <w:szCs w:val="24"/>
          <w:highlight w:val="none"/>
        </w:rPr>
        <w:t xml:space="preserve">签订日期：</w:t>
      </w:r>
      <w:r>
        <w:rPr>
          <w:rFonts w:hint="eastAsia" w:ascii="宋体" w:hAnsi="宋体" w:cs="宋体"/>
          <w:sz w:val="24"/>
          <w:highlight w:val="none"/>
        </w:rPr>
      </w:r>
      <w:r/>
    </w:p>
    <w:p>
      <w:pPr>
        <w:pStyle w:val="664"/>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664"/>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安全生产合同</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为在</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tab/>
      </w:r>
      <w:r>
        <w:rPr>
          <w:rFonts w:hint="eastAsia" w:ascii="宋体" w:hAnsi="宋体" w:cs="宋体"/>
          <w:sz w:val="24"/>
          <w:szCs w:val="24"/>
          <w:highlight w:val="none"/>
          <w:u w:val="single"/>
        </w:rPr>
        <w:tab/>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（项目名称）施工合同的实施过程中创造安全、高效的施工环境，切实搞好本项目的安全管理工作，本项目发包人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（发包人名称，以下简称“发包人”）与承包人</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tab/>
      </w:r>
      <w:r>
        <w:rPr>
          <w:rFonts w:hint="eastAsia" w:ascii="宋体" w:hAnsi="宋体" w:cs="宋体"/>
          <w:sz w:val="24"/>
          <w:szCs w:val="24"/>
          <w:highlight w:val="none"/>
          <w:u w:val="single"/>
        </w:rPr>
        <w:tab/>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（承包人名称，以下简称“承包人”）特此签订安全生产合同。</w:t>
      </w:r>
      <w:r>
        <w:rPr>
          <w:rFonts w:hint="eastAsia" w:ascii="宋体" w:hAnsi="宋体" w:cs="宋体"/>
          <w:sz w:val="24"/>
          <w:szCs w:val="24"/>
          <w:highlight w:val="none"/>
        </w:rPr>
      </w:r>
      <w:r/>
    </w:p>
    <w:p>
      <w:pPr>
        <w:pStyle w:val="664"/>
        <w:ind w:firstLine="482"/>
        <w:spacing w:line="276" w:lineRule="auto"/>
        <w:rPr>
          <w:rFonts w:hint="eastAsia" w:ascii="宋体" w:hAnsi="宋体" w:cs="宋体"/>
          <w:b/>
          <w:sz w:val="24"/>
          <w:szCs w:val="24"/>
          <w:highlight w:val="none"/>
        </w:rPr>
      </w:pPr>
      <w:r>
        <w:rPr>
          <w:rFonts w:hint="eastAsia" w:ascii="宋体" w:hAnsi="宋体" w:cs="宋体"/>
          <w:b/>
          <w:sz w:val="24"/>
          <w:szCs w:val="24"/>
          <w:highlight w:val="none"/>
        </w:rPr>
        <w:t xml:space="preserve">1.发包人职责</w:t>
      </w:r>
      <w:r>
        <w:rPr>
          <w:rFonts w:hint="eastAsia" w:ascii="宋体" w:hAnsi="宋体" w:cs="宋体"/>
          <w:b/>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（1）严格遵守国家有关安全生产的法律法规，认真执行工程承包合同中的有关安全要求。</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（2）按照“安全第一、预防为主、综合治理”和坚持“管生产必须管安全”的原则进行安全生产管理，做到生产与安全工作同时计划、布置、检查、总结和评比。</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（3）重要的安全设施必须坚持与主体工程“三同时”的原则，即：同时设计、审批，同时施工，同时验收，投入使用。</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（4）定期召开安全生产调度会，及时传达中央及地方有关安全生产的精神。</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（5）组织对承包人施工现场进行安全生产检查，监督承包人及时处理发现的各种安全隐患。</w:t>
      </w:r>
      <w:r>
        <w:rPr>
          <w:rFonts w:hint="eastAsia" w:ascii="宋体" w:hAnsi="宋体" w:cs="宋体"/>
          <w:sz w:val="24"/>
          <w:szCs w:val="24"/>
          <w:highlight w:val="none"/>
        </w:rPr>
      </w:r>
      <w:r/>
    </w:p>
    <w:p>
      <w:pPr>
        <w:pStyle w:val="664"/>
        <w:ind w:firstLine="482"/>
        <w:spacing w:line="276" w:lineRule="auto"/>
        <w:rPr>
          <w:rFonts w:hint="eastAsia" w:ascii="宋体" w:hAnsi="宋体" w:cs="宋体"/>
          <w:b/>
          <w:sz w:val="24"/>
          <w:szCs w:val="24"/>
          <w:highlight w:val="none"/>
        </w:rPr>
      </w:pPr>
      <w:r>
        <w:rPr>
          <w:rFonts w:hint="eastAsia" w:ascii="宋体" w:hAnsi="宋体" w:cs="宋体"/>
          <w:b/>
          <w:sz w:val="24"/>
          <w:szCs w:val="24"/>
          <w:highlight w:val="none"/>
        </w:rPr>
        <w:t xml:space="preserve">2.承包人职责</w:t>
      </w:r>
      <w:r>
        <w:rPr>
          <w:rFonts w:hint="eastAsia" w:ascii="宋体" w:hAnsi="宋体" w:cs="宋体"/>
          <w:b/>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（1）严格遵守《中华人民共和国安全生产法》《建设工程安全生产管理条例》等国家有关安全生产的法律法规等有关安全生产的规定。认真执行工程承包合同中的有关安全要求。</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（2）坚持“安全第一、预防为主、综合治理”和“管生产必须管安全”的原则， 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国家相关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（4）承包人在任何时候都应采取各种合理的预防措施，防止其员工发生任何违法、违禁、暴力或妨碍治安的行为。</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（5）参加施工的人员，必须接受安全技术教育，熟知和遵守本工种的各项安全技术操作规程， 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（9）施工中采用新技术、新工艺、新设备、新材料时，必须制定相应的安全技术措施，施工现场必须具有相关的安全标志牌。</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（11）安全生产费用按照国家的相关规定使用和管理。</w:t>
      </w:r>
      <w:r>
        <w:rPr>
          <w:rFonts w:hint="eastAsia" w:ascii="宋体" w:hAnsi="宋体" w:cs="宋体"/>
          <w:sz w:val="24"/>
          <w:szCs w:val="24"/>
          <w:highlight w:val="none"/>
        </w:rPr>
      </w:r>
      <w:r/>
    </w:p>
    <w:p>
      <w:pPr>
        <w:pStyle w:val="664"/>
        <w:ind w:firstLine="482"/>
        <w:spacing w:line="276" w:lineRule="auto"/>
        <w:rPr>
          <w:rFonts w:hint="eastAsia" w:ascii="宋体" w:hAnsi="宋体" w:cs="宋体"/>
          <w:b/>
          <w:sz w:val="24"/>
          <w:szCs w:val="24"/>
          <w:highlight w:val="none"/>
        </w:rPr>
      </w:pPr>
      <w:r>
        <w:rPr>
          <w:rFonts w:hint="eastAsia" w:ascii="宋体" w:hAnsi="宋体" w:cs="宋体"/>
          <w:b/>
          <w:sz w:val="24"/>
          <w:szCs w:val="24"/>
          <w:highlight w:val="none"/>
        </w:rPr>
        <w:t xml:space="preserve">3.违约责任</w:t>
      </w:r>
      <w:r>
        <w:rPr>
          <w:rFonts w:hint="eastAsia" w:ascii="宋体" w:hAnsi="宋体" w:cs="宋体"/>
          <w:b/>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如因发包人或承包人违约造成安全事故，将依法追究责任。</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本合同由双方法定代表人或其授权的代理人签署并加盖单位章后生效，全部工程竣工验收后失效。</w:t>
      </w:r>
      <w:r>
        <w:rPr>
          <w:rFonts w:hint="eastAsia" w:ascii="宋体" w:hAnsi="宋体" w:cs="宋体"/>
          <w:sz w:val="24"/>
          <w:szCs w:val="24"/>
          <w:highlight w:val="none"/>
        </w:rPr>
      </w:r>
      <w:r/>
    </w:p>
    <w:p>
      <w:pPr>
        <w:pStyle w:val="664"/>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本合同正本二份、副本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份，合同双方各执正本一份，副本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份，当正本与副本的内容不一致时，以正本为准。</w:t>
      </w:r>
      <w:r>
        <w:rPr>
          <w:rFonts w:hint="eastAsia" w:ascii="宋体" w:hAnsi="宋体" w:cs="宋体"/>
          <w:sz w:val="24"/>
          <w:szCs w:val="24"/>
          <w:highlight w:val="none"/>
        </w:rPr>
      </w:r>
      <w:r/>
    </w:p>
    <w:p>
      <w:pPr>
        <w:pStyle w:val="664"/>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664"/>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  发包人1：（公章）                     发包人2：（公章） </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                               地  址： </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                 法定代表人或授权代表：</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                             联系电话：          </w:t>
      </w:r>
      <w:r>
        <w:rPr>
          <w:rFonts w:hint="eastAsia" w:ascii="宋体" w:hAnsi="宋体" w:cs="宋体"/>
          <w:sz w:val="24"/>
          <w:szCs w:val="24"/>
          <w:highlight w:val="none"/>
        </w:rPr>
      </w:r>
      <w:r/>
    </w:p>
    <w:p>
      <w:pPr>
        <w:pStyle w:val="664"/>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承包人：（公章）</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地址：</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法定代表人或授权代表：</w:t>
      </w:r>
      <w:r>
        <w:rPr>
          <w:rFonts w:hint="eastAsia" w:ascii="宋体" w:hAnsi="宋体" w:cs="宋体"/>
          <w:sz w:val="24"/>
          <w:szCs w:val="24"/>
          <w:highlight w:val="none"/>
        </w:rPr>
      </w:r>
      <w:r/>
    </w:p>
    <w:p>
      <w:pPr>
        <w:pStyle w:val="664"/>
        <w:ind w:firstLine="240"/>
        <w:spacing w:before="120" w:after="120"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联系电话：                </w:t>
      </w:r>
      <w:r>
        <w:rPr>
          <w:rFonts w:hint="eastAsia" w:ascii="宋体" w:hAnsi="宋体" w:cs="宋体"/>
          <w:sz w:val="24"/>
          <w:szCs w:val="24"/>
          <w:highlight w:val="none"/>
        </w:rPr>
      </w:r>
      <w:r/>
    </w:p>
    <w:p>
      <w:pPr>
        <w:pStyle w:val="702"/>
        <w:jc w:val="center"/>
        <w:spacing w:before="120" w:after="120" w:line="0" w:lineRule="atLeast"/>
        <w:rPr>
          <w:rFonts w:hint="eastAsia" w:ascii="Times New Roman" w:hAnsi="Times New Roman" w:eastAsia="黑体"/>
          <w:bCs/>
          <w:sz w:val="44"/>
          <w:highlight w:val="none"/>
        </w:rPr>
      </w:pPr>
      <w:r>
        <w:rPr>
          <w:rFonts w:hint="eastAsia" w:ascii="Times New Roman" w:hAnsi="Times New Roman" w:eastAsia="黑体"/>
          <w:bCs/>
          <w:sz w:val="44"/>
          <w:highlight w:val="none"/>
        </w:rPr>
      </w:r>
      <w:r/>
    </w:p>
    <w:p>
      <w:pPr>
        <w:pStyle w:val="665"/>
        <w:rPr>
          <w:rFonts w:hint="eastAsia" w:ascii="Times New Roman" w:eastAsia="黑体"/>
          <w:bCs/>
          <w:sz w:val="44"/>
          <w:highlight w:val="none"/>
        </w:rPr>
      </w:pPr>
      <w:r>
        <w:rPr>
          <w:rFonts w:hint="eastAsia" w:ascii="Times New Roman" w:eastAsia="黑体"/>
          <w:bCs/>
          <w:sz w:val="44"/>
          <w:highlight w:val="none"/>
        </w:rPr>
        <w:br w:type="page" w:clear="all"/>
      </w:r>
      <w:bookmarkEnd w:id="250"/>
      <w:r/>
      <w:bookmarkEnd w:id="251"/>
      <w:r/>
      <w:bookmarkEnd w:id="252"/>
      <w:r/>
      <w:bookmarkEnd w:id="253"/>
      <w:r/>
      <w:bookmarkStart w:id="262" w:name="_Toc18712"/>
      <w:r>
        <w:rPr>
          <w:rFonts w:hint="eastAsia" w:ascii="Times New Roman" w:eastAsia="黑体"/>
          <w:bCs/>
          <w:sz w:val="44"/>
          <w:highlight w:val="none"/>
        </w:rPr>
        <w:t xml:space="preserve">第四章  </w:t>
      </w:r>
      <w:r>
        <w:rPr>
          <w:rFonts w:hint="eastAsia" w:ascii="Times New Roman" w:eastAsia="黑体"/>
          <w:b/>
          <w:bCs/>
          <w:sz w:val="44"/>
          <w:highlight w:val="none"/>
        </w:rPr>
        <w:t xml:space="preserve">采购需求</w:t>
      </w:r>
      <w:bookmarkEnd w:id="262"/>
      <w:r>
        <w:rPr>
          <w:rFonts w:hint="eastAsia" w:ascii="Times New Roman" w:eastAsia="黑体"/>
          <w:bCs/>
          <w:sz w:val="44"/>
          <w:highlight w:val="none"/>
        </w:rPr>
      </w:r>
      <w:r/>
    </w:p>
    <w:p>
      <w:pPr>
        <w:pStyle w:val="702"/>
        <w:jc w:val="center"/>
        <w:spacing w:before="120" w:after="120" w:line="0" w:lineRule="atLeast"/>
        <w:rPr>
          <w:rFonts w:hint="eastAsia" w:ascii="Times New Roman" w:hAnsi="Times New Roman"/>
          <w:sz w:val="24"/>
          <w:szCs w:val="24"/>
          <w:highlight w:val="none"/>
        </w:rPr>
      </w:pPr>
      <w:r>
        <w:rPr>
          <w:rFonts w:hint="eastAsia" w:ascii="Times New Roman" w:hAnsi="Times New Roman"/>
          <w:sz w:val="24"/>
          <w:szCs w:val="24"/>
          <w:highlight w:val="none"/>
        </w:rPr>
      </w:r>
      <w:r/>
    </w:p>
    <w:p>
      <w:pPr>
        <w:pStyle w:val="664"/>
        <w:ind w:firstLine="480"/>
        <w:spacing w:before="120" w:after="120" w:line="440" w:lineRule="exact"/>
        <w:rPr>
          <w:rFonts w:hint="eastAsia" w:cs="Courier New"/>
          <w:sz w:val="24"/>
          <w:szCs w:val="24"/>
          <w:highlight w:val="none"/>
        </w:rPr>
      </w:pPr>
      <w:r/>
      <w:bookmarkStart w:id="263" w:name="_Toc49090575"/>
      <w:r/>
      <w:bookmarkStart w:id="264" w:name="_Toc26554093"/>
      <w:r>
        <w:rPr>
          <w:rFonts w:hint="eastAsia" w:cs="Courier New"/>
          <w:sz w:val="24"/>
          <w:szCs w:val="24"/>
          <w:highlight w:val="none"/>
        </w:rPr>
        <w:t xml:space="preserve">项目属性：</w:t>
      </w:r>
      <w:r>
        <w:rPr>
          <w:rFonts w:hint="eastAsia" w:cs="Courier New"/>
          <w:sz w:val="24"/>
          <w:szCs w:val="24"/>
          <w:highlight w:val="none"/>
          <w:u w:val="single"/>
        </w:rPr>
        <w:t xml:space="preserve">货物类项目</w:t>
      </w:r>
      <w:r>
        <w:rPr>
          <w:rFonts w:hint="eastAsia" w:cs="Courier New"/>
          <w:sz w:val="24"/>
          <w:szCs w:val="24"/>
          <w:highlight w:val="none"/>
        </w:rPr>
      </w:r>
      <w:r/>
    </w:p>
    <w:p>
      <w:pPr>
        <w:pStyle w:val="664"/>
        <w:ind w:firstLine="480"/>
        <w:spacing w:before="120" w:after="120" w:line="440" w:lineRule="exact"/>
        <w:rPr>
          <w:rFonts w:hint="eastAsia" w:cs="Courier New"/>
          <w:sz w:val="24"/>
          <w:szCs w:val="24"/>
          <w:highlight w:val="none"/>
        </w:rPr>
      </w:pPr>
      <w:r>
        <w:rPr>
          <w:rFonts w:hint="eastAsia" w:cs="Courier New"/>
          <w:sz w:val="24"/>
          <w:szCs w:val="24"/>
          <w:highlight w:val="none"/>
        </w:rPr>
        <w:t xml:space="preserve">本项目采购标的对应的中小企业划分标准所属行业：</w:t>
      </w:r>
      <w:r>
        <w:rPr>
          <w:rFonts w:hint="eastAsia" w:cs="Courier New"/>
          <w:sz w:val="24"/>
          <w:szCs w:val="24"/>
          <w:highlight w:val="none"/>
          <w:u w:val="single"/>
        </w:rPr>
        <w:t xml:space="preserve">工业（制造业）</w:t>
      </w:r>
      <w:r>
        <w:rPr>
          <w:rFonts w:hint="eastAsia" w:cs="Courier New"/>
          <w:sz w:val="24"/>
          <w:szCs w:val="24"/>
          <w:highlight w:val="none"/>
        </w:rPr>
      </w:r>
      <w:r/>
    </w:p>
    <w:p>
      <w:pPr>
        <w:pStyle w:val="664"/>
        <w:ind w:firstLine="480"/>
        <w:spacing w:before="120" w:after="120" w:line="440" w:lineRule="exact"/>
        <w:rPr>
          <w:rFonts w:hint="eastAsia" w:cs="Courier New"/>
          <w:sz w:val="24"/>
          <w:szCs w:val="24"/>
          <w:highlight w:val="none"/>
        </w:rPr>
      </w:pPr>
      <w:r>
        <w:rPr>
          <w:rFonts w:hint="eastAsia" w:cs="Courier New"/>
          <w:sz w:val="24"/>
          <w:szCs w:val="24"/>
          <w:highlight w:val="none"/>
        </w:rPr>
        <w:t xml:space="preserve">本项目</w:t>
      </w:r>
      <w:r>
        <w:rPr>
          <w:rFonts w:hint="eastAsia" w:cs="Courier New"/>
          <w:sz w:val="24"/>
          <w:szCs w:val="24"/>
          <w:highlight w:val="none"/>
          <w:u w:val="single"/>
        </w:rPr>
        <w:t xml:space="preserve">不接受</w:t>
      </w:r>
      <w:r>
        <w:rPr>
          <w:rFonts w:hint="eastAsia" w:cs="Courier New"/>
          <w:sz w:val="24"/>
          <w:szCs w:val="24"/>
          <w:highlight w:val="none"/>
        </w:rPr>
        <w:t xml:space="preserve">进口产品。</w:t>
      </w:r>
      <w:r>
        <w:rPr>
          <w:rFonts w:hint="eastAsia" w:cs="Courier New"/>
          <w:sz w:val="24"/>
          <w:szCs w:val="24"/>
          <w:highlight w:val="none"/>
        </w:rPr>
      </w:r>
      <w:r/>
    </w:p>
    <w:p>
      <w:pPr>
        <w:pStyle w:val="664"/>
        <w:ind w:firstLine="482"/>
        <w:spacing w:line="440" w:lineRule="exact"/>
        <w:rPr>
          <w:rFonts w:hint="eastAsia"/>
          <w:b/>
          <w:bCs/>
          <w:color w:val="000000"/>
          <w:sz w:val="24"/>
          <w:highlight w:val="none"/>
        </w:rPr>
        <w:outlineLvl w:val="2"/>
      </w:pPr>
      <w:r/>
      <w:bookmarkStart w:id="265" w:name="_Toc120614281"/>
      <w:r/>
      <w:bookmarkStart w:id="266" w:name="_Toc10651"/>
      <w:r>
        <w:rPr>
          <w:rFonts w:hint="eastAsia"/>
          <w:b/>
          <w:bCs/>
          <w:color w:val="000000"/>
          <w:sz w:val="24"/>
          <w:highlight w:val="none"/>
        </w:rPr>
        <w:t xml:space="preserve">一、项目概况</w:t>
      </w:r>
      <w:bookmarkEnd w:id="266"/>
      <w:r>
        <w:rPr>
          <w:rFonts w:hint="eastAsia"/>
          <w:b/>
          <w:bCs/>
          <w:color w:val="000000"/>
          <w:sz w:val="24"/>
          <w:highlight w:val="none"/>
        </w:rPr>
      </w:r>
      <w:r/>
    </w:p>
    <w:p>
      <w:pPr>
        <w:pStyle w:val="664"/>
        <w:ind w:firstLine="480"/>
        <w:spacing w:line="440" w:lineRule="exact"/>
        <w:rPr>
          <w:rFonts w:hint="eastAsia"/>
          <w:color w:val="000000"/>
          <w:sz w:val="24"/>
          <w:highlight w:val="none"/>
        </w:rPr>
      </w:pPr>
      <w:r>
        <w:rPr>
          <w:rFonts w:hint="eastAsia"/>
          <w:color w:val="000000"/>
          <w:sz w:val="24"/>
          <w:highlight w:val="none"/>
        </w:rPr>
        <w:t xml:space="preserve">本项目是宿迁市检察院“两个中心”建设暨地下公共人防工程建设方案中智能化</w:t>
      </w:r>
      <w:r>
        <w:rPr>
          <w:rFonts w:hint="eastAsia"/>
          <w:color w:val="000000"/>
          <w:sz w:val="24"/>
          <w:highlight w:val="none"/>
        </w:rPr>
        <w:t xml:space="preserve">设计项目的补充项目。原项目中仅含有信息设施系统、公共安全系统、机房工程和指居审讯区域等部分功能的建设方案，建设完成后仅能实现基本办案功能。此项目将作为原智能化建设方案的必要补充，将完善宿迁市检察院“两个中心”的智能化建设，实现侦查指挥、听证等功能，主要包含侦查指挥系统建设、听证系统建设、信息发布系统、案卷管理和部分硬件设备。建设完成后宿迁市检察院“两个中心”可以符合上级院对两房建设的要求标准，基本满足检查工作需要的综合信息系统和办案指挥功能，为检察机关打击与预防职务犯罪、全面履行法律监督职能提供信息化保障。</w:t>
      </w:r>
      <w:r>
        <w:rPr>
          <w:rFonts w:hint="eastAsia"/>
          <w:color w:val="000000"/>
          <w:sz w:val="24"/>
          <w:highlight w:val="none"/>
        </w:rPr>
      </w:r>
      <w:r/>
    </w:p>
    <w:p>
      <w:pPr>
        <w:pStyle w:val="664"/>
        <w:ind w:firstLine="482"/>
        <w:spacing w:line="440" w:lineRule="exact"/>
        <w:rPr>
          <w:rFonts w:hint="eastAsia"/>
          <w:b/>
          <w:bCs/>
          <w:color w:val="000000"/>
          <w:sz w:val="24"/>
          <w:highlight w:val="none"/>
        </w:rPr>
        <w:outlineLvl w:val="2"/>
      </w:pPr>
      <w:r/>
      <w:bookmarkStart w:id="267" w:name="_Toc18321"/>
      <w:r>
        <w:rPr>
          <w:rFonts w:hint="eastAsia"/>
          <w:b/>
          <w:bCs/>
          <w:color w:val="000000"/>
          <w:sz w:val="24"/>
          <w:highlight w:val="none"/>
        </w:rPr>
        <w:t xml:space="preserve">二、合同履行期限、地点及要求</w:t>
      </w:r>
      <w:bookmarkEnd w:id="267"/>
      <w:r>
        <w:rPr>
          <w:rFonts w:hint="eastAsia"/>
          <w:b/>
          <w:bCs/>
          <w:color w:val="000000"/>
          <w:sz w:val="24"/>
          <w:highlight w:val="none"/>
        </w:rPr>
      </w:r>
      <w:r/>
    </w:p>
    <w:p>
      <w:pPr>
        <w:pStyle w:val="664"/>
        <w:ind w:firstLine="480"/>
        <w:spacing w:line="440" w:lineRule="exact"/>
        <w:rPr>
          <w:rFonts w:hint="eastAsia"/>
          <w:color w:val="000000"/>
          <w:sz w:val="24"/>
          <w:highlight w:val="none"/>
        </w:rPr>
      </w:pPr>
      <w:r>
        <w:rPr>
          <w:rFonts w:hint="eastAsia"/>
          <w:color w:val="000000"/>
          <w:sz w:val="24"/>
          <w:highlight w:val="none"/>
        </w:rPr>
        <w:t xml:space="preserve">1、合同履行期限：接采购人通知后</w:t>
      </w:r>
      <w:r>
        <w:rPr>
          <w:rFonts w:hint="eastAsia"/>
          <w:color w:val="000000"/>
          <w:sz w:val="24"/>
          <w:highlight w:val="none"/>
          <w:lang w:val="en-US" w:eastAsia="zh-CN"/>
        </w:rPr>
        <w:t xml:space="preserve">20</w:t>
      </w:r>
      <w:r>
        <w:rPr>
          <w:rFonts w:hint="eastAsia"/>
          <w:color w:val="000000"/>
          <w:sz w:val="24"/>
          <w:highlight w:val="none"/>
        </w:rPr>
        <w:t xml:space="preserve">日历天内完成供货、安装、调试完毕经验收合格交付使用。</w:t>
      </w:r>
      <w:r>
        <w:rPr>
          <w:rFonts w:hint="eastAsia"/>
          <w:color w:val="000000"/>
          <w:sz w:val="24"/>
          <w:highlight w:val="none"/>
        </w:rPr>
      </w:r>
      <w:r/>
    </w:p>
    <w:p>
      <w:pPr>
        <w:pStyle w:val="664"/>
        <w:ind w:firstLine="480"/>
        <w:spacing w:line="440" w:lineRule="exact"/>
        <w:rPr>
          <w:rFonts w:hint="eastAsia"/>
          <w:color w:val="000000"/>
          <w:sz w:val="24"/>
          <w:highlight w:val="none"/>
        </w:rPr>
      </w:pPr>
      <w:r>
        <w:rPr>
          <w:rFonts w:hint="eastAsia"/>
          <w:color w:val="000000"/>
          <w:sz w:val="24"/>
          <w:highlight w:val="none"/>
        </w:rPr>
        <w:t xml:space="preserve">2、免费维</w:t>
      </w:r>
      <w:r>
        <w:rPr>
          <w:rFonts w:hint="eastAsia"/>
          <w:sz w:val="24"/>
          <w:highlight w:val="none"/>
        </w:rPr>
        <w:t xml:space="preserve">保期：3年，自所有货</w:t>
      </w:r>
      <w:r>
        <w:rPr>
          <w:rFonts w:hint="eastAsia"/>
          <w:color w:val="000000"/>
          <w:sz w:val="24"/>
          <w:highlight w:val="none"/>
        </w:rPr>
        <w:t xml:space="preserve">物到交货地点安装调试完成，并自验收合格之日起算。</w:t>
      </w:r>
      <w:r>
        <w:rPr>
          <w:rFonts w:hint="eastAsia"/>
          <w:color w:val="000000"/>
          <w:sz w:val="24"/>
          <w:highlight w:val="none"/>
        </w:rPr>
      </w:r>
      <w:r/>
    </w:p>
    <w:p>
      <w:pPr>
        <w:pStyle w:val="664"/>
        <w:ind w:firstLine="480"/>
        <w:spacing w:line="440" w:lineRule="exact"/>
        <w:rPr>
          <w:rFonts w:hint="eastAsia"/>
          <w:color w:val="000000"/>
          <w:sz w:val="24"/>
          <w:highlight w:val="none"/>
        </w:rPr>
      </w:pPr>
      <w:r>
        <w:rPr>
          <w:rFonts w:hint="eastAsia"/>
          <w:color w:val="000000"/>
          <w:sz w:val="24"/>
          <w:highlight w:val="none"/>
        </w:rPr>
        <w:t xml:space="preserve">3、供货地点：采购人指定地点。</w:t>
      </w:r>
      <w:r>
        <w:rPr>
          <w:rFonts w:hint="eastAsia"/>
          <w:color w:val="000000"/>
          <w:sz w:val="24"/>
          <w:highlight w:val="none"/>
        </w:rPr>
      </w:r>
      <w:r/>
    </w:p>
    <w:p>
      <w:pPr>
        <w:pStyle w:val="664"/>
        <w:ind w:firstLine="482"/>
        <w:spacing w:line="440" w:lineRule="exact"/>
        <w:rPr>
          <w:rFonts w:hint="eastAsia"/>
          <w:b/>
          <w:bCs/>
          <w:sz w:val="24"/>
          <w:highlight w:val="none"/>
        </w:rPr>
        <w:outlineLvl w:val="2"/>
      </w:pPr>
      <w:r/>
      <w:bookmarkStart w:id="268" w:name="_Toc18780"/>
      <w:r>
        <w:rPr>
          <w:rFonts w:hint="eastAsia"/>
          <w:b/>
          <w:bCs/>
          <w:sz w:val="24"/>
          <w:highlight w:val="none"/>
        </w:rPr>
        <w:t xml:space="preserve">三、付款方式</w:t>
      </w:r>
      <w:bookmarkEnd w:id="268"/>
      <w:r>
        <w:rPr>
          <w:rFonts w:hint="eastAsia"/>
          <w:b/>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预付款：甲方②在收到供应商发票后10个工作日内，支付合同总金额的30%作为预付款； </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进度款：设备安装调试完毕经验收合格且审计结束后，甲方②在收到供应商发票后10个工作日内付至最终审定价的95%，维保期结束后付清余款（无息）。</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资金支付的时间：收到供应商发票10个工作日内；</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资金支付的条件：满足相应阶段的要求且收到供应商发票；</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资金支付的主体：宿迁市楚润数据集团有限公司</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甲方①：江苏省宿迁市人民检察院 </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甲方②：宿迁市楚润数据集团有限公司</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注：1、在签订合同时，中标人明确表示无需预付款或者主动要求降低预付款比例的金额，采购人可不适用预付款规定。数字人民币为合同价款支付的一种方式。</w:t>
      </w:r>
      <w:r>
        <w:rPr>
          <w:rFonts w:hint="eastAsia"/>
          <w:bCs/>
          <w:sz w:val="24"/>
          <w:highlight w:val="none"/>
        </w:rPr>
      </w:r>
      <w:r/>
    </w:p>
    <w:p>
      <w:pPr>
        <w:pStyle w:val="664"/>
        <w:ind w:firstLine="482"/>
        <w:jc w:val="left"/>
        <w:spacing w:line="440" w:lineRule="exact"/>
        <w:rPr>
          <w:rFonts w:hint="eastAsia"/>
          <w:bCs/>
          <w:sz w:val="24"/>
          <w:highlight w:val="none"/>
        </w:rPr>
      </w:pPr>
      <w:r>
        <w:rPr>
          <w:rFonts w:hint="eastAsia"/>
          <w:bCs/>
          <w:sz w:val="24"/>
          <w:highlight w:val="none"/>
        </w:rPr>
        <w:t xml:space="preserve">2、因财政资金（或代建款项）未及时拨付至甲方②处，造成甲方②延迟付款的，甲方②不承担逾期付款责任。</w:t>
      </w:r>
      <w:r>
        <w:rPr>
          <w:rFonts w:hint="eastAsia"/>
          <w:bCs/>
          <w:sz w:val="24"/>
          <w:highlight w:val="none"/>
        </w:rPr>
      </w:r>
      <w:r/>
    </w:p>
    <w:p>
      <w:pPr>
        <w:pStyle w:val="664"/>
        <w:ind w:firstLine="480"/>
        <w:jc w:val="left"/>
        <w:spacing w:line="440" w:lineRule="exact"/>
        <w:rPr>
          <w:bCs/>
          <w:sz w:val="24"/>
          <w:highlight w:val="none"/>
        </w:rPr>
      </w:pPr>
      <w:r>
        <w:rPr>
          <w:rFonts w:hint="eastAsia"/>
          <w:bCs/>
          <w:sz w:val="24"/>
          <w:highlight w:val="none"/>
        </w:rPr>
        <w:t xml:space="preserve">3、合同价款包含供应商提供合同约定的货物及供应商提供合同中服务所支出的所有费用，包含但不限于设备厂验的所有费用（产生的差旅费、交通费等）、系统对接所产生费用、配合费、辅材费用等，采购人在上述合同价款之外不再向中标供应商支付其他任何费用。</w:t>
      </w:r>
      <w:r>
        <w:rPr>
          <w:bCs/>
          <w:sz w:val="24"/>
          <w:highlight w:val="none"/>
        </w:rPr>
      </w:r>
      <w:r/>
    </w:p>
    <w:p>
      <w:pPr>
        <w:pStyle w:val="664"/>
        <w:ind w:firstLine="482"/>
        <w:spacing w:line="440" w:lineRule="exact"/>
        <w:rPr>
          <w:rFonts w:hint="eastAsia"/>
          <w:b/>
          <w:bCs/>
          <w:color w:val="ff0000"/>
          <w:sz w:val="24"/>
          <w:highlight w:val="none"/>
        </w:rPr>
        <w:outlineLvl w:val="2"/>
      </w:pPr>
      <w:r/>
      <w:bookmarkStart w:id="269" w:name="_Toc8804"/>
      <w:r>
        <w:rPr>
          <w:rFonts w:hint="eastAsia"/>
          <w:b/>
          <w:bCs/>
          <w:color w:val="000000"/>
          <w:sz w:val="24"/>
          <w:highlight w:val="none"/>
        </w:rPr>
        <w:t xml:space="preserve">四</w:t>
      </w:r>
      <w:r>
        <w:rPr>
          <w:b/>
          <w:bCs/>
          <w:color w:val="000000"/>
          <w:sz w:val="24"/>
          <w:highlight w:val="none"/>
        </w:rPr>
        <w:t xml:space="preserve">、</w:t>
      </w:r>
      <w:r>
        <w:rPr>
          <w:rFonts w:hint="eastAsia"/>
          <w:b/>
          <w:bCs/>
          <w:color w:val="000000"/>
          <w:sz w:val="24"/>
          <w:highlight w:val="none"/>
        </w:rPr>
        <w:t xml:space="preserve">采购清单及技术要求</w:t>
      </w:r>
      <w:bookmarkEnd w:id="269"/>
      <w:r>
        <w:rPr>
          <w:rFonts w:hint="eastAsia"/>
          <w:b/>
          <w:bCs/>
          <w:color w:val="ff0000"/>
          <w:sz w:val="24"/>
          <w:highlight w:val="none"/>
        </w:rPr>
      </w:r>
      <w:r/>
    </w:p>
    <w:tbl>
      <w:tblPr>
        <w:tblW w:w="98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1254"/>
        <w:gridCol w:w="4975"/>
        <w:gridCol w:w="618"/>
        <w:gridCol w:w="735"/>
        <w:gridCol w:w="1612"/>
      </w:tblGrid>
      <w:tr>
        <w:trPr/>
        <w:tc>
          <w:tcPr>
            <w:tcW w:w="624" w:type="dxa"/>
            <w:vAlign w:val="center"/>
            <w:textDirection w:val="lrTb"/>
            <w:noWrap w:val="false"/>
          </w:tcPr>
          <w:p>
            <w:pPr>
              <w:pStyle w:val="664"/>
              <w:jc w:val="center"/>
              <w:spacing w:line="440" w:lineRule="exact"/>
              <w:rPr>
                <w:rFonts w:hint="eastAsia" w:ascii="宋体" w:hAnsi="宋体"/>
                <w:highlight w:val="none"/>
              </w:rPr>
            </w:pPr>
            <w:r>
              <w:rPr>
                <w:rFonts w:hint="eastAsia" w:ascii="宋体" w:hAnsi="宋体"/>
                <w:highlight w:val="none"/>
              </w:rPr>
              <w:t xml:space="preserve">序号</w:t>
            </w:r>
            <w:r>
              <w:rPr>
                <w:rFonts w:hint="eastAsia" w:ascii="宋体" w:hAnsi="宋体"/>
                <w:highlight w:val="none"/>
              </w:rPr>
            </w:r>
            <w:r/>
          </w:p>
        </w:tc>
        <w:tc>
          <w:tcPr>
            <w:tcW w:w="1254" w:type="dxa"/>
            <w:vAlign w:val="center"/>
            <w:textDirection w:val="lrTb"/>
            <w:noWrap w:val="false"/>
          </w:tcPr>
          <w:p>
            <w:pPr>
              <w:pStyle w:val="664"/>
              <w:jc w:val="center"/>
              <w:spacing w:line="440" w:lineRule="exact"/>
              <w:rPr>
                <w:rFonts w:hint="eastAsia" w:ascii="宋体" w:hAnsi="宋体"/>
                <w:highlight w:val="none"/>
              </w:rPr>
            </w:pPr>
            <w:r>
              <w:rPr>
                <w:rFonts w:hint="eastAsia" w:ascii="宋体" w:hAnsi="宋体"/>
                <w:highlight w:val="none"/>
              </w:rPr>
              <w:t xml:space="preserve">设备（产品）名称</w:t>
            </w:r>
            <w:r>
              <w:rPr>
                <w:rFonts w:hint="eastAsia" w:ascii="宋体" w:hAnsi="宋体"/>
                <w:highlight w:val="none"/>
              </w:rPr>
            </w:r>
            <w:r/>
          </w:p>
        </w:tc>
        <w:tc>
          <w:tcPr>
            <w:tcW w:w="4975" w:type="dxa"/>
            <w:vAlign w:val="center"/>
            <w:textDirection w:val="lrTb"/>
            <w:noWrap w:val="false"/>
          </w:tcPr>
          <w:p>
            <w:pPr>
              <w:pStyle w:val="664"/>
              <w:jc w:val="center"/>
              <w:spacing w:line="440" w:lineRule="exact"/>
              <w:rPr>
                <w:rFonts w:ascii="宋体" w:hAnsi="宋体"/>
                <w:highlight w:val="none"/>
              </w:rPr>
            </w:pPr>
            <w:r>
              <w:rPr>
                <w:rFonts w:hint="eastAsia" w:ascii="宋体" w:hAnsi="宋体"/>
                <w:highlight w:val="none"/>
              </w:rPr>
              <w:t xml:space="preserve">技术参数要求</w:t>
            </w:r>
            <w:r>
              <w:rPr>
                <w:rFonts w:ascii="宋体" w:hAnsi="宋体"/>
                <w:highlight w:val="none"/>
              </w:rPr>
            </w:r>
            <w:r/>
          </w:p>
        </w:tc>
        <w:tc>
          <w:tcPr>
            <w:tcW w:w="618" w:type="dxa"/>
            <w:vAlign w:val="center"/>
            <w:textDirection w:val="lrTb"/>
            <w:noWrap w:val="false"/>
          </w:tcPr>
          <w:p>
            <w:pPr>
              <w:pStyle w:val="664"/>
              <w:jc w:val="center"/>
              <w:spacing w:line="440" w:lineRule="exact"/>
              <w:rPr>
                <w:rFonts w:ascii="宋体" w:hAnsi="宋体"/>
                <w:highlight w:val="none"/>
              </w:rPr>
            </w:pPr>
            <w:r>
              <w:rPr>
                <w:rFonts w:hint="eastAsia" w:ascii="宋体" w:hAnsi="宋体"/>
                <w:highlight w:val="none"/>
              </w:rPr>
              <w:t xml:space="preserve">单位</w:t>
            </w:r>
            <w:r>
              <w:rPr>
                <w:rFonts w:ascii="宋体" w:hAnsi="宋体"/>
                <w:highlight w:val="none"/>
              </w:rPr>
            </w:r>
            <w:r/>
          </w:p>
        </w:tc>
        <w:tc>
          <w:tcPr>
            <w:tcW w:w="735" w:type="dxa"/>
            <w:vAlign w:val="center"/>
            <w:textDirection w:val="lrTb"/>
            <w:noWrap w:val="false"/>
          </w:tcPr>
          <w:p>
            <w:pPr>
              <w:pStyle w:val="664"/>
              <w:jc w:val="center"/>
              <w:spacing w:line="440" w:lineRule="exact"/>
              <w:rPr>
                <w:rFonts w:hint="eastAsia" w:ascii="宋体" w:hAnsi="宋体"/>
                <w:highlight w:val="none"/>
              </w:rPr>
            </w:pPr>
            <w:r>
              <w:rPr>
                <w:rFonts w:hint="eastAsia" w:ascii="宋体" w:hAnsi="宋体"/>
                <w:highlight w:val="none"/>
              </w:rPr>
              <w:t xml:space="preserve">数量</w:t>
            </w:r>
            <w:r>
              <w:rPr>
                <w:rFonts w:hint="eastAsia" w:ascii="宋体" w:hAnsi="宋体"/>
                <w:highlight w:val="none"/>
              </w:rPr>
            </w:r>
            <w:r/>
          </w:p>
        </w:tc>
        <w:tc>
          <w:tcPr>
            <w:tcW w:w="1612" w:type="dxa"/>
            <w:vAlign w:val="center"/>
            <w:textDirection w:val="lrTb"/>
            <w:noWrap w:val="false"/>
          </w:tcPr>
          <w:p>
            <w:pPr>
              <w:pStyle w:val="664"/>
              <w:jc w:val="center"/>
              <w:spacing w:line="440" w:lineRule="exact"/>
              <w:rPr>
                <w:rFonts w:hint="eastAsia" w:ascii="宋体" w:hAnsi="宋体"/>
                <w:highlight w:val="none"/>
              </w:rPr>
            </w:pPr>
            <w:r>
              <w:rPr>
                <w:rFonts w:hint="eastAsia" w:ascii="宋体" w:hAnsi="宋体"/>
                <w:highlight w:val="none"/>
              </w:rPr>
              <w:t xml:space="preserve">备注</w:t>
            </w:r>
            <w:r>
              <w:rPr>
                <w:rFonts w:hint="eastAsia" w:ascii="宋体" w:hAnsi="宋体"/>
                <w:highlight w:val="none"/>
              </w:rPr>
            </w:r>
            <w:r/>
          </w:p>
        </w:tc>
      </w:tr>
      <w:tr>
        <w:trPr/>
        <w:tc>
          <w:tcPr>
            <w:gridSpan w:val="6"/>
            <w:tcW w:w="9818" w:type="dxa"/>
            <w:vAlign w:val="center"/>
            <w:textDirection w:val="lrTb"/>
            <w:noWrap w:val="false"/>
          </w:tcPr>
          <w:p>
            <w:pPr>
              <w:pStyle w:val="664"/>
              <w:jc w:val="center"/>
              <w:spacing w:line="440" w:lineRule="exact"/>
              <w:rPr>
                <w:rFonts w:ascii="宋体" w:hAnsi="宋体"/>
                <w:highlight w:val="none"/>
              </w:rPr>
            </w:pPr>
            <w:r>
              <w:rPr>
                <w:rFonts w:hint="eastAsia" w:ascii="宋体" w:hAnsi="宋体"/>
                <w:b/>
                <w:bCs/>
                <w:highlight w:val="none"/>
              </w:rPr>
              <w:t xml:space="preserve">（一）信息发布</w:t>
            </w:r>
            <w:r>
              <w:rPr>
                <w:rFonts w:ascii="宋体" w:hAnsi="宋体"/>
                <w:highlight w:val="none"/>
              </w:rPr>
            </w:r>
            <w:r/>
          </w:p>
        </w:tc>
      </w:tr>
      <w:tr>
        <w:trPr/>
        <w:tc>
          <w:tcPr>
            <w:gridSpan w:val="6"/>
            <w:tcW w:w="9818" w:type="dxa"/>
            <w:vAlign w:val="top"/>
            <w:textDirection w:val="lrTb"/>
            <w:noWrap w:val="false"/>
          </w:tcPr>
          <w:p>
            <w:pPr>
              <w:pStyle w:val="664"/>
              <w:jc w:val="center"/>
              <w:spacing w:line="440" w:lineRule="exact"/>
              <w:rPr>
                <w:rFonts w:ascii="宋体" w:hAnsi="宋体"/>
                <w:sz w:val="24"/>
                <w:szCs w:val="24"/>
                <w:highlight w:val="none"/>
              </w:rPr>
            </w:pPr>
            <w:r>
              <w:rPr>
                <w:rFonts w:hint="eastAsia" w:ascii="宋体" w:hAnsi="宋体"/>
                <w:b/>
                <w:bCs/>
                <w:highlight w:val="none"/>
              </w:rPr>
              <w:t xml:space="preserve">信息发布系统</w:t>
            </w:r>
            <w:r>
              <w:rPr>
                <w:rFonts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室内LED大屏</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▲1.像素间距≤</w:t>
            </w:r>
            <w:r>
              <w:rPr>
                <w:rFonts w:hint="eastAsia" w:ascii="宋体" w:hAnsi="宋体" w:cs="宋体"/>
                <w:color w:val="000000"/>
                <w:sz w:val="18"/>
                <w:szCs w:val="18"/>
                <w:highlight w:val="none"/>
                <w:lang w:val="en-US" w:eastAsia="zh-CN" w:bidi="ar"/>
              </w:rPr>
              <w:t xml:space="preserve">1.25</w:t>
            </w:r>
            <w:r>
              <w:rPr>
                <w:rFonts w:hint="eastAsia" w:ascii="宋体" w:hAnsi="宋体" w:cs="宋体"/>
                <w:color w:val="000000"/>
                <w:sz w:val="18"/>
                <w:szCs w:val="18"/>
                <w:highlight w:val="none"/>
                <w:lang w:bidi="ar"/>
              </w:rPr>
              <w:t xml:space="preserve">mm，像素密度≥</w:t>
            </w:r>
            <w:r>
              <w:rPr>
                <w:rFonts w:hint="eastAsia" w:ascii="宋体" w:hAnsi="宋体" w:cs="宋体"/>
                <w:color w:val="000000"/>
                <w:sz w:val="18"/>
                <w:szCs w:val="18"/>
                <w:highlight w:val="none"/>
                <w:lang w:val="en-US" w:eastAsia="zh-CN" w:bidi="ar"/>
              </w:rPr>
              <w:t xml:space="preserve">640000</w:t>
            </w:r>
            <w:r>
              <w:rPr>
                <w:rFonts w:hint="eastAsia" w:ascii="宋体" w:hAnsi="宋体" w:cs="宋体"/>
                <w:color w:val="000000"/>
                <w:sz w:val="18"/>
                <w:szCs w:val="18"/>
                <w:highlight w:val="none"/>
                <w:lang w:bidi="ar"/>
              </w:rPr>
              <w:t xml:space="preserve">点/㎡（提供具有CMA标识的第三方检测报告电子件）。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2.为有效提高屏体平整度和16：9显示效果，单元箱体按600mm×337.5mm尺寸，且单元箱体厚度不超过30mm，禁止模组磁吸钢结构或模组托架安装方式；</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3.全倒装COB封装：光源采用全倒装芯片（RGB全倒装,1R1G1B），芯片单片尺寸100μm，无焊线工艺，所有晶片与PCB基板不使用任何材质的线材连接,芯片直接焊接在PCB上；</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4.箱体采用压铸铝合金材质，为一体压铸成型，全金属自然散热结构，无风扇无散热孔，密封防尘和静音设计，无塑料后盖；</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5.LED面板设计按共阴原理设计，共阴技术分压供电（恒流源输出端驱动LED的阳极，同时一个像素的三个基色R/G/B的阴极在封装时连接在一起），红光驱动电压：2.8V，绿（蓝）光驱动电压：3.8V；</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对图像清晰度、饱和度、色度调节、对比度、亮度进行综合式一键视觉修正，具备降噪、增强、运动补偿（动态图像自动补偿）、色彩坐标变换处理、钝化处理功能，支持HDR高动态范围图像技术显示(符合CESI-PC-0D74中HDR3.0显示的要求)；</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7.产品正常使用工作达到热平衡状态后，屏体结构金属部分升温≤15℃，绝缘材料温升不超过≤10℃；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8.模组、接收卡与主板采用硬连接设计，板对板设计，无排线，直接插拔；采用50μ镀金接插件硬连接浮动式接插件设计，可上下左右位置微调，缝隙精准可调；</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9.芯片的波长误差值在±1nm之内，每个灯芯的亮度误差在2.5%以内；</w:t>
            </w:r>
            <w:r>
              <w:rPr>
                <w:rFonts w:hint="eastAsia" w:ascii="宋体" w:hAnsi="宋体" w:cs="宋体"/>
                <w:color w:val="000000"/>
                <w:sz w:val="18"/>
                <w:szCs w:val="18"/>
                <w:highlight w:val="none"/>
                <w:lang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10.设备在正常工作条件下，连续工作168h，不应出现电、机械或操作系统的故障</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11.亮度≥1000cd/㎡,0-100%无极可调，软件0-255级可调；对比度≥1000000:1；</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12.色温可调范围：1000K～10000K；色温为6500K时，100%，75%，50%，25%四挡电平白场调节色温误差≤200K；</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13.按照 SJ/T 11281-2017 发光二极管(LED)显示屏测试方法标准中的屏体视角测量要求与方法测得数据：垂直视角上下≥170°，水平左右≥170°；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14.模组含智能存储电路，可以存储模组生产信息参数、运行参数等等，存储容量≥16kb；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15.智能节电：LED显示屏具备点检（开路检测）、智能节电功能，开启智能节电功能比没有开启节能40%以上；</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16.VICO指数（人眼视觉舒适度），测试值在 0≤VICO＜1 间，属于 I 级舒适度，人眼观看基本无疲劳感；采用独特的面板处理技术（可选哑光、镜面），有效降低炫光及刺目感，显示柔和，观看时无像素颗粒感；LED 表面硬度可达等级≥HRC 8级，防止刮蹭伤害屏幕；</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17.显示屏整屏亮度均匀性≥99%，发光点中心距偏差＜0.5%，整屏色度均匀性±0.002Cx，Cy之内；</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18.防护等级：正面IP65,背面IP65。</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ascii="宋体" w:hAnsi="宋体" w:eastAsia="宋体"/>
                <w:sz w:val="18"/>
                <w:szCs w:val="18"/>
                <w:highlight w:val="none"/>
                <w:lang w:val="en-US" w:eastAsia="zh-CN"/>
              </w:rPr>
            </w:pPr>
            <w:r>
              <w:rPr>
                <w:rFonts w:hint="eastAsia" w:ascii="宋体" w:hAnsi="宋体" w:cs="宋体"/>
                <w:color w:val="000000"/>
                <w:sz w:val="18"/>
                <w:szCs w:val="18"/>
                <w:highlight w:val="none"/>
                <w:lang w:val="en-US" w:eastAsia="zh-CN" w:bidi="ar"/>
              </w:rPr>
              <w:t xml:space="preserve">7.29</w:t>
            </w:r>
            <w:r>
              <w:rPr>
                <w:rFonts w:ascii="宋体" w:hAnsi="宋体" w:eastAsia="宋体"/>
                <w:sz w:val="18"/>
                <w:szCs w:val="18"/>
                <w:highlight w:val="none"/>
                <w:lang w:val="en-US" w:eastAsia="zh-CN"/>
              </w:rPr>
            </w:r>
            <w:r/>
          </w:p>
        </w:tc>
        <w:tc>
          <w:tcPr>
            <w:tcW w:w="1612" w:type="dxa"/>
            <w:vAlign w:val="center"/>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壁挂支架</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材料：SPCC高强度钢板；表面处理：静电喷塑。</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ascii="宋体" w:hAnsi="宋体" w:eastAsia="宋体"/>
                <w:sz w:val="18"/>
                <w:szCs w:val="18"/>
                <w:highlight w:val="none"/>
                <w:lang w:val="en-US" w:eastAsia="zh-CN"/>
              </w:rPr>
            </w:pPr>
            <w:r>
              <w:rPr>
                <w:rFonts w:hint="eastAsia" w:ascii="宋体" w:hAnsi="宋体" w:cs="宋体"/>
                <w:color w:val="000000"/>
                <w:sz w:val="18"/>
                <w:szCs w:val="18"/>
                <w:highlight w:val="none"/>
                <w:lang w:val="en-US" w:eastAsia="zh-CN" w:bidi="ar"/>
              </w:rPr>
              <w:t xml:space="preserve">7.29</w:t>
            </w:r>
            <w:r>
              <w:rPr>
                <w:rFonts w:ascii="宋体" w:hAnsi="宋体" w:eastAsia="宋体"/>
                <w:sz w:val="18"/>
                <w:szCs w:val="18"/>
                <w:highlight w:val="none"/>
                <w:lang w:val="en-US" w:eastAsia="zh-CN"/>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sz w:val="18"/>
                <w:szCs w:val="18"/>
                <w:highlight w:val="none"/>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LED控制器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20路千兆网口输出，带载885万像素，单网口最大带载65万像素，最高或者最宽为4090点像素，2U机箱。</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rHeight w:val="90"/>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配电柜</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10KW，PLC远程控制，三相五线制输入，AC220V输出。</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显示一体机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1.屏幕尺寸：≥43英寸，分辨率≥1920*1080；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2.系统为Android，内存≥2 G，存储≥16G；</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3.支持通过C/S端、B/S端、手机、平板移动端、设备本地等多重管理；</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4.产品支持功能：添加素材、修改素材、删除素材、审核素材、素材预览，下载素材素材模糊搜索，素材精确搜索，替換素材；</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素材类型：图片（bmp、jpg、png、动画（gif）、音频（mp3、wav、wma）、视频（rm、rmvb、asf、avi、mpg、3gp、mov、mkv、wmv、flv、mp4、文本（txt）、PDF、Word、PPT、Excel、网页（静态：html/htm:；动态：URL、APP、网络摄像机（IPC)、URL图片、流媒体服务器（过流媒体的取流链接）、通用数据（弹图、叫号、抓拍）、数据源（支持实时动态更新的图片、视频、文字）；</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多个页面（至少支持32个组成，页面包括多个窗口至少支持16个，同一个页面中的窗口类型可以不一样），支持一个页面不同的窗口播放不同的素材同时可以添加时钟窗口（时钟的样式可选）、倒计时窗口，也可以添加节目单背景图；</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7.支持按日播放，按周播放，轮播，自定义播放（年365天自定义播放），垫片日程；支持日程按终端组和按终端方式发布，支持定时发布和预发布功能；</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制作终端的播放内容时，需要经过三层审核（素材审核、节目审核、日程审核），可通过设置专人进行终端播放内容审核权限，未审核通过的内容不能发布到终端进行播放，保障节目内容的安全；客户端登录，传输敏感信息加密，使用RSA方式交换秘钥，使用秘钥进行AES加密，对报文体进行全加密；</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9.含信息发布控制软件，满足采购人使用需求。</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5</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top"/>
            <w:textDirection w:val="lrTb"/>
            <w:noWrap w:val="false"/>
          </w:tcPr>
          <w:p>
            <w:pPr>
              <w:pStyle w:val="664"/>
              <w:jc w:val="center"/>
              <w:spacing w:line="440" w:lineRule="exact"/>
              <w:tabs>
                <w:tab w:val="left" w:pos="1232" w:leader="none"/>
              </w:tabs>
              <w:rPr>
                <w:rFonts w:hint="eastAsia" w:ascii="宋体" w:hAnsi="宋体"/>
                <w:sz w:val="24"/>
                <w:szCs w:val="24"/>
                <w:highlight w:val="none"/>
              </w:rPr>
            </w:pPr>
            <w:r>
              <w:rPr>
                <w:rFonts w:hint="eastAsia" w:ascii="宋体" w:hAnsi="宋体"/>
                <w:b/>
                <w:bCs/>
                <w:sz w:val="24"/>
                <w:szCs w:val="24"/>
                <w:highlight w:val="none"/>
              </w:rPr>
              <w:t xml:space="preserve">12309叫号排队系统</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信息交互服务器软件</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智能排队系统管理软件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1、系统可联网联机统一发号；</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2、系统可无线对接，也可有线连接；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3、系统支持 100 种业务以上；</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4、系统支持多个等候区提示等候信息，各等候区语音及显示可独立；</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5、个性化语音可呼叫采购单位所办理的业务名称等信息；</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6、号码可在不同服务类别的柜台窗口之间相互转移，顾客不必重复排队；</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7、具备登录操作功能和退出操作功能：工作开始前，输入员工登陆号进行登录，工作结束后，退出排队系统，这对统计非常准确；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8、发号机界面的图片采购单位完全可以按个性化自主设计更换；</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9、支持通过读卡器读取客户相关信息后，自动区分 VIP 客户和普通客户，自动区分对公客户和对私客户，并按营业机构自定的排队规则自动编组排队；</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10、号票上和发号机上的显示屏会显示每个顾客前面的等待人数；</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11、各项业务队列采购单位完全可以自主按需任意增减；</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12、各项业务的工作时段及暂停时段采购单位完全可以自主设定；</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13、操作员工的增减及登陆账号采购单位完全可以自主更改；</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14、语音呼叫的信息采购单位完全可以自主按个性化更改；</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15、显示屏的任何显示信息采购单位完全可以自主按个性化更改；</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16、工作员工所办理的业务队列采购单位完全可以自主任意设置优先级；</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17、号票上的文字内容、图案、业务名称、时间格式、更改字体及大小、纸张长短等采购单位完全可以自主按个性化设置；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18、系统支持播放背景音乐，音乐曲目完全由采购单位自主选择；</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19、系统支持在值班经理处增设监控软件，处理各种特殊状况；</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20、系统支持高清晰度等离子显示器、大屏幕、电视墙等多种显示设备，显示丰富的排队信息；</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21、系统支持连接互联网络，可实现远程监控；</w:t>
            </w:r>
            <w:r>
              <w:rPr>
                <w:rFonts w:hint="eastAsia" w:ascii="宋体" w:hAnsi="宋体" w:cs="宋体"/>
                <w:color w:val="000000"/>
                <w:sz w:val="18"/>
                <w:szCs w:val="18"/>
                <w:highlight w:val="none"/>
                <w:lang w:bidi="ar"/>
              </w:rPr>
            </w:r>
            <w:r/>
          </w:p>
          <w:p>
            <w:pPr>
              <w:pStyle w:val="664"/>
              <w:jc w:val="both"/>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22、系统设有扩展功能，当需要有关统计和管理数据时，可热键激活管理软件并打印。</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套</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信息交互服务器硬件</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22寸电容触摸一体屏，前换纸80MM小票打印机、超大纸盒80MM*1500MM、缺纸报警功能：支持打印机缺纸报警；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1.主机配置：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CPU≥双核处理器；固态硬盘≥120G；内存≥4G；</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正版windows操作系统；</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2.外型机柜：采用流线造型，外表面豪华进口金属漆、底漆具有防锈、防磁、防静电3.功能，冷轧钢板厚度为1.5-2.0毫米；</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3.通讯方式 设备应支持 433MHz 无线通讯， 100 个信道可设优良的传输性能,视距情况下,可 靠传输 300 米/800 米/1000 米+5V 供电情况下， 接收电流&lt;30mA，发射电流&lt;100mA 支持 TTL,RS232,RS485,USB 多种接口；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4、支持国产信创系统认证（须提供麒麟软件适配认证证书）；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5、设备应符合电磁兼容要求，并对谐波电流进行了检测及符合要求；</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6、设备应通过了对电源端传导的骚扰电压进行了检测；</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7、无人值守系统：主机设置成定时开关机，并支持网络唤醒功能，以确保在无人照看的情况下，准时启动和关闭。</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叫号对讲软件</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1、物理尺寸：142mm*85mm*16mm/42mm(打开支腿)；</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2、按键：20键，&gt;1000万次，大按键无缝平板式布局；</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3、电源：DC?5V供电，&lt;5W，配AC/DC电源适配器；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4、液晶显示：带背光128*64点阵，可显示4行16点阵汉字、字符以及32点高数字和英文字母；</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5、通讯方式：433MHz无线通讯，100个信道可设；</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6、重量：净重120g，含电源适配器和电源线</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433MHz无线通讯，100个信道可设优良的传输性能,视距情况下,可靠传输 300 米/800 米/1000 米 +5V 供电，接收电流&lt;30mA，发射电流&lt;100mA支TTL,RS232,RS485,USB 多种接口；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通电一键开关机、内嵌叫号系统软件、满足排队系统叫号接口规范、支持自适应亮度显示，即时显示叫号信息实现叫号屏显示效果；</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兼容性要求 为保证系统的兼容性，要求与排队机同一品牌，如非同一品牌，需提供兼容性承诺。</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套</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窗口对讲机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电压：DC9V；工作电流：300mA；输出功率2.3W+0.5W 100HZ-15khz；话筒:-42db±0.5db20hz-16khz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主机外型尺寸:140×53×95mm；分机外型尺寸:65×15mm</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兼容性要求为保证系统的兼容性，要求与排队机同一品牌，如非同一品牌，需提供兼容性承诺。</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广播功放</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功放类型:HIFI；功放：1路；话筒输入：4-16欧110V；尺寸:260*200*66mm；重量:3KG；阻抗:8欧；输出功率:40W；电源：220V。</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吸顶喇叭</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颜色分类白，喇叭功率3-6W；定压70-100W；阻抗:8欧；输出功率:40W电源220V，开孔尺寸165MM高度78MM外部192MM。</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排队系统专用显示屏</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排队系统专用显示屏，正常情况下显示排队叫号信息，支持多行三色变量显示，可显示窗口号，支持集中显示模式，支持第三方接口，不锈钢包边，网络控制系统，无需电脑同步显示；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同时内置16点阵、24点阵、32点阵三种国标字库，可根据分区的区域高度自动适应选择对应的字库字号；</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无缝对接现有排队叫号系统、满足排队系统叫号显示系统昌裕接口规范、支持自适应亮度显示，即时显示叫号信息实现叫号屏显示效果。</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13</w:t>
            </w:r>
            <w:r>
              <w:rPr>
                <w:rFonts w:ascii="宋体" w:hAnsi="宋体" w:cs="宋体"/>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sz w:val="18"/>
                <w:szCs w:val="18"/>
                <w:highlight w:val="none"/>
                <w:lang w:bidi="ar"/>
              </w:rPr>
              <w:t xml:space="preserve">多媒体控制盒</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sz w:val="18"/>
                <w:szCs w:val="18"/>
                <w:highlight w:val="none"/>
                <w:lang w:bidi="ar"/>
              </w:rPr>
              <w:t xml:space="preserve">CPU核心数：四核；运行内存：4G 存储容量：32GB 输出分辨率：4K；红外遥控；网口规格：千兆网口；WIFI连接：单频WI-FI 4；蓝牙版本5.0 解码能力4K 60FPS；内置设备。</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center"/>
            <w:textDirection w:val="lrTb"/>
            <w:noWrap w:val="false"/>
          </w:tcPr>
          <w:p>
            <w:pPr>
              <w:pStyle w:val="664"/>
              <w:jc w:val="center"/>
              <w:spacing w:line="440" w:lineRule="exact"/>
              <w:rPr>
                <w:rFonts w:ascii="宋体" w:hAnsi="宋体"/>
                <w:b/>
                <w:bCs/>
                <w:highlight w:val="none"/>
              </w:rPr>
            </w:pPr>
            <w:r>
              <w:rPr>
                <w:rFonts w:hint="eastAsia" w:ascii="宋体" w:hAnsi="宋体"/>
                <w:b/>
                <w:bCs/>
                <w:highlight w:val="none"/>
              </w:rPr>
              <w:t xml:space="preserve">（二）听证室</w:t>
            </w:r>
            <w:r>
              <w:rPr>
                <w:rFonts w:ascii="宋体" w:hAnsi="宋体"/>
                <w:b/>
                <w:bCs/>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highlight w:val="none"/>
              </w:rPr>
              <w:t xml:space="preserve">听证（宣告）室</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一体化听证工作站</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所投产品应采用一体化集成设计，系统包含一体化设备柜体、液晶显示屏、高清听证/庭审主机、智能中控主机、高清摄像机、扩声系统、一体化结构以及定制线缆，便于安装和维护（提供具有CMA标识的第三方检测报告电子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2、所投产品集成四台高清液晶显示屏，支持1080p60全高清显示，尺寸不小于43/50/55英寸；</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所投产品集成四台高清摄像机，可采集4个方位的等比例“面对面”画面，包括主持人、双方当事人及听证人员；高清摄像机支持1080p60fps高清视频采集及输出，支持12倍光学变焦、水平视角不低于72°，摄像机高度支持升降调节；</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4、支持整机一键开关功能，支持本地、远程开关机；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5、具备1路串口，支持RS232串口控制功能；具备2路I/O控制接口；具备4路网络接口，支持10/100Mbps网络自适应；具备1路AC电源输入接口和3路AC电源输出接口。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▲6、支持8路SDI输入，6路HDMI输入，4路DVI视频输入，支持4路远程点接入，最大接入带宽285Mbps，远程点支持双流（提供具有CMA标识的第三方检测报告电子件）。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7、支持8路DVI视频输出，5路HDMI输出、16路Mic In(支持48V幻想供电)、5路Line In、3路Line Out 、2路XLR Out；支持8路RS485串行接口，6路RS232串行接口，支持1路红外输入，6路红外输出、支持1路ANTENNA接口，支持WIFI、蓝牙通信；</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8、支持内置8个SATA接口，每个SATA口可以支持8TB硬盘；</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9、支持16路IP摄像机（H.264或H.265摄像机）和SDI摄像机混合接入，支持16路4K接入；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10、系统内置双DVD刻录光驱，支持光驱热插拔，支持便携拆卸光驱，可实现在不拆卸设备机箱情况下更换光驱；</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11、支持大画面，1大1小，2等分，1大2小，4等分，1大4小，1大5小，1大7小，9等分等12种合成画面风格可选，可同时接入9路通道参与合成；支持合成画面独立编码、传输、录像及刻录；</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12、支持混音功能，支持35路音频输入，能够实现远程声音和本地声音混音刻录，支持5组混音器设置，每路音频输入通道自定义加入不同混音器混音；</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13、支持音频处理功能，支持啸叫抑制、回声抵消、自动增益、音频降噪，变声等音频处理功能，支持每路音频输入与输出音量自定义调节，支持实时音频功率查看；</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14、支持光盘刻录功能，支持双光盘同步刻录、循环刻录和只录像不刻录，支持断电续刻/续录功能，支持重点标记功能，可以通过重点标记自动跳转到对应的录像和笔录时间点；</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15、支持直刻，出盘时间不超过3min；</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支持刻录光盘加密功能，加密后的光盘自动播放时需使用专用播放器输入正确密码后才能查看和播放光盘内的音视频及附件，支持对光盘进行数字加密，生成唯一不可修改加密序列号，需要检验密码才能查看光盘内录像文件，支持防擦写（无法直接删除文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17、支持多种录像策略管理功能、案件管理功能、笔录功能、日志管理功能，支持自定义笔录模板；</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18、若出现故障报警，故障提升声压≥60dB（A），持续时间≥8min；</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19、支持智能算法，支持对多种视频智能分析（证人保护、庭纪监督、区域看防、视频诊断、异常行为检测、姿态检测）的算法进行详细的参数配置，支持视频窗口绘制待检测区域；</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20、支持证人保护功能，支持但画面不少于4个人脸动态马赛克处理（马赛克随人脸移动），支持自定义设置马赛克等级（薄码，中码，厚码）和区域大小；支持证人视频通道30fps逐帧检测，实时打码，支持证人声音变声功能，支持31种变声等级可选；支持2路证人通道实时马赛克处理，多人场景下可锁定证人实现动态马赛克追踪；</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21、支持庭纪检督功能，支持对指定区域内庭审秩序不规范检测，如迟到、早退、中途离席、缺席、法官制服不规范检测，准确率不低于95%；</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22、支持听证状态控制功能、证据切换控制功能、摄像机控制功能、画面风格切换功能以及合成画面风格控制功能；</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23、支持语音激励功能，支持对听证一体化工作站合成通道的语音激励开关的控制。</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模拟话筒</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指向话筒,永久极性电容收音头,超心型指向,灵敏度-40dB±2dB,频响40Hz～16000Hz,输出阻抗75欧姆,最佳拾音距离10～40cm,DC12V幻象供电。</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支</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12</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一拖二手持话筒</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1.采用UHF超高频段，比传统的VHF频段干扰更少；</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2.支持平衡和非平衡两种选择输出端口；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3.支持mic/line两种输出模式，适配不同后级接入设备；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4.真分集接收主机，两套芯片级独立系统同步接收载波频率范围: 630~698MHz；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5.频带宽度: 200kHz；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6.有效工作距离: 100m（空旷无遮挡）；</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7.射频灵敏度: -102 dBm  ；</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8.信道数量: 181 （15组）；</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9.最大输出电平: XRL（LINE）：7.85 dBV ；    </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10.6.35mm（LINE）： 5.25 dBV；</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11.3.5mm（LINE）：4.6 dBV ；</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12.天线接口: BNC；</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13.天线阻抗: 50Ω；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14.供电电压: DC12V；</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15.麦克风类型: 动圈麦；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16.指向性: 超心型；</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17.供电: 2*AA；</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18.连续工作时间: 8h（原装电池）。</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套</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17</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示证展台</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示证展台，1200万像素，整机180倍放大，支持自动/手动对焦和白平衡。</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18</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调音台</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1.支持≥16路模拟输入，≥8路平衡式XLR/TRS组合数字增益话放通道、≥2组（4路）立体声输入通道、≥2路高阻单声道· 输入通道、≥2路USB播放通道，低本底噪声、多功能参数可调；</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2.内置 USB 录音、播放功能，支持 APE、FLAC、MP3、WAV 等音频格式；内置 4G 存储空间，可上传音频文件进行本机播放；</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3.≥8路DCA编组、≥8路静音编组，输入输出、效果器通道均可编入；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4.每路输入通道具有≥6段参量均衡器、压缩器、噪声门、相位、延时器；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5.每路输出通道具有≥8段参量均衡器、31段图示均衡器、高低通滤波器、压限器、延时器；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6.内置自适应陷波反馈抑制算法；</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7.≥5个效果器类型：单声道延时、立体声延时、合唱、混响、变调；≥4个效果器通道；</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8.双机热备份通过网络数据实时同步；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9.独特的LOCK键，保持现场场景数据或防止误操作</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10.≥7寸1024x600分辨率高清电容触摸屏，全功能操作控制调音台；</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11.支持30-255组场景预设，可导入USB存储，便于备份调用；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12.内置：正弦波、粉红噪声、白噪声信号发生器；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13.独特的Link连接功能，可进行相邻通道绑定设置，通道名自定义；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14.跨平台开发平台，支持 Windows、Linux、macOS、Android、iOS 主流操作系统全功能控制软件。</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19</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模拟功放</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1.具备“桥接模式，并接模式，立体声模式”三种工作模式可选择；</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2.具备四档输入灵敏度可选择；</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3.阻尼系数：≥5000@ 8 ohms；</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4.总谐波失真：≤0.01%；</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5.信噪比：≥100dB(默认增益，A计权，8Ω)；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6.频率响应：20 Hz~20 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7.额定功率：8Ω/立体声：≥4X250W; 4Ω/立体声：≥4X450W; 2Ω/立体声：≥4X723W; 16Ω/桥接：≥2X500W; 8Ω/桥接：≥2X850W; 4Ω/桥接：≥2X1445W；</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8.转换速率：≥28V/us；</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9.保护功能：电源欠压保护、功放输出直流保护、过热保护、温度功率控制、过载功率控制；</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10.具有限幅开关设置，可对过载信号进行削波压限。</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eastAsia="宋体"/>
                <w:sz w:val="18"/>
                <w:szCs w:val="18"/>
                <w:highlight w:val="none"/>
                <w:lang w:eastAsia="zh-CN"/>
              </w:rPr>
            </w:pPr>
            <w:r>
              <w:rPr>
                <w:rFonts w:hint="eastAsia" w:ascii="宋体" w:hAnsi="宋体" w:cs="宋体"/>
                <w:color w:val="000000"/>
                <w:sz w:val="18"/>
                <w:szCs w:val="18"/>
                <w:highlight w:val="none"/>
                <w:lang w:val="en-US" w:eastAsia="zh-CN" w:bidi="ar"/>
              </w:rPr>
              <w:t xml:space="preserve">台</w:t>
            </w:r>
            <w:r>
              <w:rPr>
                <w:rFonts w:hint="eastAsia" w:ascii="宋体" w:hAnsi="宋体" w:eastAsia="宋体"/>
                <w:sz w:val="18"/>
                <w:szCs w:val="18"/>
                <w:highlight w:val="none"/>
                <w:lang w:eastAsia="zh-CN"/>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20</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音箱</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1.持两档模式切换,Normal模式下人声更清晰，垂直指向性更强；Wide模式下低音更多，声音更浑厚，垂直覆盖角度更大，满足不同场景听音需求；</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2.支持欧姆头、凤凰端子3Pin多类型音频接口接入；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3.支持两种安装方式，贴墙壁挂安装或万向支架安装，调节角度简便，满足任意环境声场覆盖要求；</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4.额定功率≥150W；</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5.阻抗≤8Ω；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6.灵敏度≥90dB/W/M；</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7.连续声压级≥111dB；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8.最大声压级≥≥117dB；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9.频响范围等同或优于100Hz~18KHz；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10.喇叭单元≥12×2.25寸钱磁喇叭；</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11.水平覆盖角≥160°；</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12.垂直覆盖角度：Normal：≥25°，Wide：≥30°。</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大屏幕液晶显示屏</w:t>
            </w:r>
            <w:r>
              <w:rPr>
                <w:rFonts w:hint="eastAsia" w:ascii="宋体" w:hAnsi="宋体"/>
                <w:sz w:val="18"/>
                <w:szCs w:val="18"/>
                <w:highlight w:val="none"/>
              </w:rPr>
            </w:r>
            <w:r/>
          </w:p>
        </w:tc>
        <w:tc>
          <w:tcPr>
            <w:tcW w:w="4975" w:type="dxa"/>
            <w:vAlign w:val="top"/>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1.55英寸4K显示器；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2.支持3840*2160@60Hz超高清显示；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3.支持通过串口连接中控设备，进行远程集中控制；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4.内置喇叭及功放，支持3.5mm音频输入；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5.支持U盘点播，含文本、图片、音频、视频等多种格式多媒体播放；</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6.亮度：450cd/㎡；</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7.可视角：178°（H）/178°（V）；</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8.对比度：4000：1；</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9.响应时间：8ms；</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10.刷新率：60Hz；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11.音视频输入接口：HDMI2.0×1,DP1.2×1,VGA×1,AudioIn(3.5mm)×1；</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12.音视频输出接口：AudioOut(3.5mm)×1,Speaker(8Ω5W)×2；</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13.电源：100~240VAC,50/60Hz；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14.功耗：≤150W；</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15.含立式可伸缩支架。</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高清解码器</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单路高清解码器；支持H.265/H.264，输出接口2×HDMI，1×VGA；（HDMI1与VGA同时同源输出，与HDMI2互斥输出；HDMI1/VGA分辨率最高1920×1080，HDMI2分辨率最高4K即3840×2160）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最高解码视频分辨率为4K（3840×2160）；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解码总能力支持4×4K、9×400万（2592×1520）、16×1080P；</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支持GB协议对接平台。</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23</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LED电子门牌</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门头显示</w:t>
            </w:r>
            <w:r>
              <w:rPr>
                <w:rFonts w:hint="eastAsia" w:ascii="宋体" w:hAnsi="宋体" w:cs="宋体"/>
                <w:color w:val="000000"/>
                <w:sz w:val="18"/>
                <w:szCs w:val="18"/>
                <w:highlight w:val="none"/>
                <w:lang w:val="en-US" w:eastAsia="zh-CN" w:bidi="ar"/>
              </w:rPr>
              <w:t xml:space="preserve">牌</w:t>
            </w:r>
            <w:r>
              <w:rPr>
                <w:rFonts w:hint="eastAsia" w:ascii="宋体" w:hAnsi="宋体" w:cs="宋体"/>
                <w:color w:val="000000"/>
                <w:sz w:val="18"/>
                <w:szCs w:val="18"/>
                <w:highlight w:val="none"/>
                <w:lang w:bidi="ar"/>
              </w:rPr>
              <w:t xml:space="preserve">，屏幕分辨率为128*32，屏幕尺寸：长*宽*高64cm*17.5cm*2.2cm，间距：P4.75mm，颜色：双色；内含LED控制卡，以太网接口。</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rHeight w:val="5271"/>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可视对讲分机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1.操作系统：嵌入式操作系统；</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2.摄像头参数：CMOS低照度200w像素高清彩色摄像头，红外补光；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3.操作方式：实体按键；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4.支持与中心管理机等双向语音对讲；</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5.支持报警功能，设备带门磁报警接入、防拆报警；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6.采用先进的硬件噪声抑制与回声消除技术，保证话音质量清晰明亮；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7.通信方式：有线网络；</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8.网络协议：支持SIP2.0、TCP/IP、RTSP、isup协议、isapi协议、SDK协议；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9.硬件接口：RJ45*1，电源接口*1，RS485*1，IO输入*2，继电器接口*1，音频输入接口*1，音频输出接口*1，TF/microSD卡接口*1；</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10.安装方式：明装；</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11.供电方式：DC12V/标准POE；</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12.设备功耗：≤8W；</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13.防护等级：IK08、IP65。</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25</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高清解码器</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单路高清解码器；支持H.265/H.264，输出接口2×HDMI，1×VGA；</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（HDMI1与VGA同时同源输出，与HDMI2互斥输出；HDMI1/VGA分辨率最高1920×1080，HDMI2分辨率最高4K即3840×2160）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最高解码视频分辨率为4K（3840×2160）；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解码总能力支持4×4K、9×400万（2592×1520）、16×1080P；</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支持GB协议对接平台。</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26</w:t>
            </w:r>
            <w:r>
              <w:rPr>
                <w:rFonts w:ascii="宋体" w:hAnsi="宋体" w:cs="宋体"/>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导播盒</w:t>
            </w:r>
            <w:r>
              <w:rPr>
                <w:rFonts w:hint="eastAsia" w:ascii="宋体" w:hAnsi="宋体" w:cs="宋体"/>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中央处理器:高性能八核处理器；</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操作系统安卓: 10.0屏幕及触屏15.6寸全高清IPS屏；</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内存:8G+128G；</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WiFi:802.11ax 2*2 wifi6；</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有线网络:1000M -RJ45；</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视频接口:HDMI输入*2，支持分辨；率:4K/2K/1080P/1080i/720P;HDMI输出*1分辨率 1080P/60；</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视频接口:H.265/H.264/VP8</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视频解码:H.265/H.264/VP8</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音频接口:HDMI 音频/MIC输出接口/LINE IN线路音频/USB音频设备；</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音频编码:AAC；</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外放:内置扬声器；</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拓展接口:2个USB3.0；</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外置存储卡:TF 卡槽；</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同时支持 SA/NSA模式5G；NR:n1/n2/n3/n5/n7/n8/n20/n28/n41/n66/n71/n77/n78/n79LTE:B1/B2/B3/B4(66VB5(18/19/26)VB7/B8/B12(17VB13/B14/B20/B25/B26/B28/B29/B30/B32/B38/B39/B40/B41/B42/B43/B46/B48/B71电源:12V/2A DC；</w:t>
            </w:r>
            <w:r>
              <w:rPr>
                <w:rFonts w:hint="eastAsia" w:ascii="宋体" w:hAnsi="宋体" w:cs="宋体"/>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sz w:val="18"/>
                <w:szCs w:val="18"/>
                <w:highlight w:val="none"/>
                <w:lang w:bidi="ar"/>
              </w:rPr>
              <w:t xml:space="preserve">机身尺寸:宽:220mm 厚:720mm长:420mm，净重2.9KG。</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sz w:val="18"/>
                <w:szCs w:val="18"/>
                <w:highlight w:val="none"/>
                <w:lang w:bidi="ar"/>
              </w:rPr>
              <w:t xml:space="preserve">套</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center"/>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sz w:val="24"/>
                <w:szCs w:val="24"/>
                <w:highlight w:val="none"/>
              </w:rPr>
              <w:t xml:space="preserve">会议室家具及装修</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27</w:t>
            </w:r>
            <w:r>
              <w:rPr>
                <w:rFonts w:ascii="宋体" w:hAnsi="宋体" w:cs="宋体"/>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会议桌-直排</w:t>
            </w:r>
            <w:r>
              <w:rPr>
                <w:rFonts w:hint="eastAsia" w:ascii="宋体" w:hAnsi="宋体" w:cs="宋体"/>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1.规格：2000*600*750（颜色由采购人最终确定）；</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2.木皮：贴面采用实木木皮，纹路清晰、结构均匀、色泽美观；选料必须无腐、无裂痕、无虫眼和死 节，纹理自然，并经过烘干、防虫、防腐处理；双面贴木皮，防止因环境温差引 起的变形甚至开裂；</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3.基材：选用E1级标准的环保高密度纤维板，达到环保标准；所有材料经过防虫、防腐处理，干燥性能好，不易变形，比重合理；</w:t>
            </w:r>
            <w:r>
              <w:rPr>
                <w:rFonts w:hint="eastAsia" w:ascii="宋体" w:hAnsi="宋体" w:cs="宋体"/>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sz w:val="18"/>
                <w:szCs w:val="18"/>
                <w:highlight w:val="none"/>
                <w:lang w:bidi="ar"/>
              </w:rPr>
              <w:t xml:space="preserve">4.油漆：采用先进的五底三面油漆工艺，环保漆; 用环保粘合剂甲醛&lt;500MM/Kg，确保表面平整，纹理清晰自然，无颗粒、气泡、粗点；耐热耐磨性强，色泽美观不变色。</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sz w:val="18"/>
                <w:szCs w:val="18"/>
                <w:highlight w:val="none"/>
                <w:lang w:bidi="ar"/>
              </w:rPr>
              <w:t xml:space="preserve">张</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sz w:val="18"/>
                <w:szCs w:val="18"/>
                <w:highlight w:val="none"/>
                <w:lang w:bidi="ar"/>
              </w:rPr>
              <w:t xml:space="preserve">8</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rHeight w:val="90"/>
        </w:trPr>
        <w:tc>
          <w:tcPr>
            <w:tcW w:w="624"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28</w:t>
            </w:r>
            <w:r>
              <w:rPr>
                <w:rFonts w:ascii="宋体" w:hAnsi="宋体" w:cs="宋体"/>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会议桌-主席台</w:t>
            </w:r>
            <w:r>
              <w:rPr>
                <w:rFonts w:hint="eastAsia" w:ascii="宋体" w:hAnsi="宋体" w:cs="宋体"/>
                <w:sz w:val="18"/>
                <w:szCs w:val="18"/>
                <w:highlight w:val="none"/>
                <w:lang w:bidi="ar"/>
              </w:rPr>
            </w:r>
            <w:r/>
          </w:p>
        </w:tc>
        <w:tc>
          <w:tcPr>
            <w:tcW w:w="4975" w:type="dxa"/>
            <w:vAlign w:val="center"/>
            <w:textDirection w:val="lrTb"/>
            <w:noWrap w:val="false"/>
          </w:tcPr>
          <w:p>
            <w:pPr>
              <w:pStyle w:val="664"/>
              <w:jc w:val="left"/>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1.2500*600*760（颜色由采购人最终确定）；</w:t>
            </w:r>
            <w:r>
              <w:rPr>
                <w:rFonts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2.基材：采用环保中密度纤维板，经防潮、防虫、防腐处理，抗弯力强，不变形；</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3.面材：采用美国进口0.6mmAAA级胡桃木皮，含水率低于0.9%，采用进口胡桃实木封边；</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4.油漆：采用优质环保净味油漆，附着力强、流平性高，涂层亮度均匀不褪色，色泽柔和，手感良好；</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5.五金配件：采用优质五金配件、防腐处理，经久耐用。</w:t>
            </w:r>
            <w:r>
              <w:rPr>
                <w:rFonts w:hint="eastAsia" w:ascii="宋体" w:hAnsi="宋体" w:cs="宋体"/>
                <w:sz w:val="18"/>
                <w:szCs w:val="18"/>
                <w:highlight w:val="none"/>
                <w:lang w:bidi="ar"/>
              </w:rPr>
            </w:r>
            <w:r/>
          </w:p>
        </w:tc>
        <w:tc>
          <w:tcPr>
            <w:tcW w:w="618"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张</w:t>
            </w:r>
            <w:r>
              <w:rPr>
                <w:rFonts w:ascii="宋体" w:hAnsi="宋体" w:cs="宋体"/>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4</w:t>
            </w:r>
            <w:r>
              <w:rPr>
                <w:rFonts w:hint="eastAsia" w:ascii="宋体" w:hAnsi="宋体" w:cs="宋体"/>
                <w:sz w:val="18"/>
                <w:szCs w:val="18"/>
                <w:highlight w:val="none"/>
                <w:lang w:bidi="ar"/>
              </w:rPr>
            </w:r>
            <w:r/>
          </w:p>
        </w:tc>
        <w:tc>
          <w:tcPr>
            <w:tcW w:w="1612" w:type="dxa"/>
            <w:vAlign w:val="center"/>
            <w:textDirection w:val="lrTb"/>
            <w:noWrap w:val="false"/>
          </w:tcPr>
          <w:p>
            <w:pPr>
              <w:pStyle w:val="664"/>
              <w:jc w:val="center"/>
              <w:spacing w:line="440" w:lineRule="exact"/>
              <w:rPr>
                <w:rFonts w:hint="eastAsia" w:ascii="宋体" w:hAnsi="宋体"/>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-32384</wp:posOffset>
                      </wp:positionH>
                      <wp:positionV relativeFrom="paragraph">
                        <wp:posOffset>565785</wp:posOffset>
                      </wp:positionV>
                      <wp:extent cx="958850" cy="3416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8850" cy="341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5pt;mso-position-horizontal:absolute;mso-position-vertical-relative:text;margin-top:44.5pt;mso-position-vertical:absolute;width:75.5pt;height:26.9pt;mso-wrap-distance-left:9.0pt;mso-wrap-distance-top:0.0pt;mso-wrap-distance-right:9.0pt;mso-wrap-distance-bottom:0.0pt;" stroked="f">
                      <v:path textboxrect="0,0,0,0"/>
                      <w10:wrap type="square"/>
                      <v:imagedata r:id="rId12" o:title=""/>
                    </v:shape>
                  </w:pict>
                </mc:Fallback>
              </mc:AlternateConten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29</w:t>
            </w:r>
            <w:r>
              <w:rPr>
                <w:rFonts w:ascii="宋体" w:hAnsi="宋体" w:cs="宋体"/>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会议椅</w:t>
            </w:r>
            <w:r>
              <w:rPr>
                <w:rFonts w:hint="eastAsia" w:ascii="宋体" w:hAnsi="宋体" w:cs="宋体"/>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1、采用进口橡胶木，稳固承重力好，舒适靠背，贴合腰部（颜色由采购人确定）；</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2、采用优质环保加厚皮面料，光泽度好，透气性强，柔软而富于弹性，不变形；</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3、采用五底三面的八道油漆涂装工艺，保证产品光泽、平整、纹理清晰、环保、颜色要求内外一致，表面硬度大于2H，耐磨度高于3级。</w:t>
            </w:r>
            <w:r>
              <w:rPr>
                <w:rFonts w:hint="eastAsia" w:ascii="宋体" w:hAnsi="宋体" w:cs="宋体"/>
                <w:sz w:val="18"/>
                <w:szCs w:val="18"/>
                <w:highlight w:val="none"/>
                <w:lang w:bidi="ar"/>
              </w:rPr>
            </w:r>
            <w:r/>
          </w:p>
        </w:tc>
        <w:tc>
          <w:tcPr>
            <w:tcW w:w="618"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把</w:t>
            </w:r>
            <w:r>
              <w:rPr>
                <w:rFonts w:ascii="宋体" w:hAnsi="宋体" w:cs="宋体"/>
                <w:sz w:val="18"/>
                <w:szCs w:val="18"/>
                <w:highlight w:val="none"/>
                <w:lang w:bidi="ar"/>
              </w:rPr>
            </w:r>
            <w:r/>
          </w:p>
        </w:tc>
        <w:tc>
          <w:tcPr>
            <w:tcW w:w="735" w:type="dxa"/>
            <w:vAlign w:val="center"/>
            <w:textDirection w:val="lrTb"/>
            <w:noWrap w:val="false"/>
          </w:tcPr>
          <w:p>
            <w:pPr>
              <w:pStyle w:val="664"/>
              <w:jc w:val="center"/>
              <w:widowControl/>
              <w:rPr>
                <w:rFonts w:ascii="宋体" w:hAnsi="宋体" w:cs="宋体"/>
                <w:sz w:val="18"/>
                <w:szCs w:val="18"/>
                <w:highlight w:val="none"/>
                <w:lang w:bidi="ar"/>
              </w:rPr>
            </w:pPr>
            <w:r>
              <w:rPr>
                <w:rFonts w:hint="eastAsia" w:ascii="宋体" w:hAnsi="宋体" w:cs="宋体"/>
                <w:sz w:val="18"/>
                <w:szCs w:val="18"/>
                <w:highlight w:val="none"/>
                <w:lang w:bidi="ar"/>
              </w:rPr>
              <w:t xml:space="preserve">30</w:t>
            </w:r>
            <w:r>
              <w:rPr>
                <w:rFonts w:ascii="宋体" w:hAnsi="宋体" w:cs="宋体"/>
                <w:sz w:val="18"/>
                <w:szCs w:val="18"/>
                <w:highlight w:val="none"/>
                <w:lang w:bidi="ar"/>
              </w:rPr>
            </w:r>
            <w:r/>
          </w:p>
        </w:tc>
        <w:tc>
          <w:tcPr>
            <w:tcW w:w="1612" w:type="dxa"/>
            <w:vAlign w:val="center"/>
            <w:textDirection w:val="lrTb"/>
            <w:noWrap w:val="false"/>
          </w:tcPr>
          <w:p>
            <w:pPr>
              <w:pStyle w:val="664"/>
              <w:jc w:val="center"/>
              <w:spacing w:line="440" w:lineRule="exact"/>
              <w:rPr>
                <w:rFonts w:hint="eastAsia"/>
                <w:highlight w:val="none"/>
              </w:rPr>
            </w:pPr>
            <w:r>
              <w:rPr>
                <w:rFonts w:hint="eastAsia"/>
                <w:highlight w:val="none"/>
              </w:rPr>
            </w:r>
            <w:r/>
          </w:p>
        </w:tc>
      </w:tr>
      <w:tr>
        <w:trPr/>
        <w:tc>
          <w:tcPr>
            <w:gridSpan w:val="6"/>
            <w:tcW w:w="9818" w:type="dxa"/>
            <w:vAlign w:val="center"/>
            <w:textDirection w:val="lrTb"/>
            <w:noWrap w:val="false"/>
          </w:tcPr>
          <w:p>
            <w:pPr>
              <w:pStyle w:val="664"/>
              <w:jc w:val="center"/>
              <w:spacing w:line="440" w:lineRule="exact"/>
              <w:rPr>
                <w:rFonts w:ascii="宋体" w:hAnsi="宋体"/>
                <w:b/>
                <w:bCs/>
                <w:highlight w:val="none"/>
              </w:rPr>
            </w:pPr>
            <w:r>
              <w:rPr>
                <w:rFonts w:hint="eastAsia" w:ascii="宋体" w:hAnsi="宋体"/>
                <w:b/>
                <w:bCs/>
                <w:highlight w:val="none"/>
              </w:rPr>
              <w:t xml:space="preserve">（三）侦查指挥中心</w:t>
            </w:r>
            <w:r>
              <w:rPr>
                <w:rFonts w:ascii="宋体" w:hAnsi="宋体"/>
                <w:b/>
                <w:bCs/>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b/>
                <w:bCs/>
                <w:highlight w:val="none"/>
              </w:rPr>
            </w:pPr>
            <w:r>
              <w:rPr>
                <w:rFonts w:hint="eastAsia" w:ascii="宋体" w:hAnsi="宋体"/>
                <w:b/>
                <w:bCs/>
                <w:highlight w:val="none"/>
              </w:rPr>
              <w:t xml:space="preserve">对讲系统</w:t>
            </w:r>
            <w:r>
              <w:rPr>
                <w:rFonts w:hint="eastAsia" w:ascii="宋体" w:hAnsi="宋体"/>
                <w:b/>
                <w:bCs/>
                <w:highlight w:val="none"/>
              </w:rPr>
            </w:r>
            <w:r/>
          </w:p>
        </w:tc>
      </w:tr>
      <w:tr>
        <w:trPr/>
        <w:tc>
          <w:tcPr>
            <w:tcW w:w="624" w:type="dxa"/>
            <w:vAlign w:val="center"/>
            <w:textDirection w:val="lrTb"/>
            <w:noWrap w:val="false"/>
          </w:tcPr>
          <w:p>
            <w:pPr>
              <w:pStyle w:val="664"/>
              <w:jc w:val="center"/>
              <w:widowControl/>
              <w:rPr>
                <w:rFonts w:ascii="宋体" w:hAnsi="宋体"/>
                <w:sz w:val="18"/>
                <w:szCs w:val="18"/>
                <w:highlight w:val="none"/>
              </w:rPr>
            </w:pPr>
            <w:r>
              <w:rPr>
                <w:rFonts w:hint="eastAsia" w:ascii="宋体" w:hAnsi="宋体" w:cs="宋体"/>
                <w:color w:val="000000"/>
                <w:sz w:val="18"/>
                <w:szCs w:val="18"/>
                <w:highlight w:val="none"/>
                <w:lang w:bidi="ar"/>
              </w:rPr>
              <w:t xml:space="preserve">30</w:t>
            </w:r>
            <w:r>
              <w:rPr>
                <w:rFonts w:ascii="宋体" w:hAnsi="宋体"/>
                <w:sz w:val="18"/>
                <w:szCs w:val="18"/>
                <w:highlight w:val="none"/>
              </w:rPr>
            </w:r>
            <w:r/>
          </w:p>
        </w:tc>
        <w:tc>
          <w:tcPr>
            <w:tcW w:w="1254"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可视对讲分机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1.操作系统：嵌入式操作系统；</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2.摄像头参数：CMOS低照度200w像素高清彩色摄像头，红外补光；</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3.操作方式：实体按键；</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4.支持与中心管理机等双向语音对讲；</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5.支持报警功能，设备带门磁报警接入、防拆报警；</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6.采用先进的硬件噪声抑制与回声消除技术，保证话音质量清晰明亮；</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7.通信方式：有线网络；</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8.网络协议：支持SIP2.0、TCP/IP、RTSP、isup协议、isapi协议、SDK协议；</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9.硬件接口：RJ45*1，电源接口*1，RS485*1，IO输入*2，继电器接口*1，音频输入接口*1，音频输出接口*1，TF/microSD卡接口*1；</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10.安装方式：明装；；</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11.供电方式：DC12V/标准POE</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12.设备功耗：≤8W；</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13.防护等级：IK08、IP65。</w:t>
            </w:r>
            <w:r>
              <w:rPr>
                <w:rFonts w:hint="eastAsia" w:ascii="宋体" w:hAnsi="宋体" w:cs="宋体"/>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sz w:val="24"/>
                <w:szCs w:val="24"/>
                <w:highlight w:val="none"/>
              </w:rPr>
              <w:t xml:space="preserve">显控系统</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室内LED大屏</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1.像素间距≤</w:t>
            </w:r>
            <w:r>
              <w:rPr>
                <w:rFonts w:hint="eastAsia" w:ascii="宋体" w:hAnsi="宋体" w:cs="宋体"/>
                <w:sz w:val="18"/>
                <w:szCs w:val="18"/>
                <w:highlight w:val="none"/>
                <w:lang w:val="en-US" w:eastAsia="zh-CN" w:bidi="ar"/>
              </w:rPr>
              <w:t xml:space="preserve">0.96</w:t>
            </w:r>
            <w:r>
              <w:rPr>
                <w:rFonts w:hint="eastAsia" w:ascii="宋体" w:hAnsi="宋体" w:cs="宋体"/>
                <w:sz w:val="18"/>
                <w:szCs w:val="18"/>
                <w:highlight w:val="none"/>
                <w:lang w:bidi="ar"/>
              </w:rPr>
              <w:t xml:space="preserve">mm，像素密度≥</w:t>
            </w:r>
            <w:r>
              <w:rPr>
                <w:rFonts w:hint="eastAsia" w:ascii="宋体" w:hAnsi="宋体" w:cs="宋体"/>
                <w:sz w:val="18"/>
                <w:szCs w:val="18"/>
                <w:highlight w:val="none"/>
                <w:lang w:val="en-US" w:eastAsia="zh-CN" w:bidi="ar"/>
              </w:rPr>
              <w:t xml:space="preserve">1000000</w:t>
            </w:r>
            <w:r>
              <w:rPr>
                <w:rFonts w:hint="eastAsia" w:ascii="宋体" w:hAnsi="宋体" w:cs="宋体"/>
                <w:sz w:val="18"/>
                <w:szCs w:val="18"/>
                <w:highlight w:val="none"/>
                <w:lang w:bidi="ar"/>
              </w:rPr>
              <w:t xml:space="preserve">点/㎡；</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2.为有效提高屏体平整度和16：9显示效果，单元箱体按600mm×337.5mm尺寸，且单元箱体厚度不超过30mm，禁止模组磁吸钢结构或模组托架安装方式；</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3.全倒装COB封装：光源采用全倒装芯片（RGB全倒装,1R1G1B），芯片单片尺寸＜100μm，无焊线工艺，所有晶片与PCB基板不使用任何材质的线材连接,芯片直接焊接在PCB上；</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4.箱体采用压铸铝合金材质，为一体压铸成型，全金属自然散热结构，无风扇无散热孔，密封防尘和静音设计，无塑料后盖； </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5.LED面板设计按共阴原理设计，共阴技术分压供电，红光驱动电压：2.8V，绿（蓝）光驱动电压：3.8V；</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6.支持对图像清晰度、饱和度、色度调节、对比度、亮度进行综合式一键视觉修正，具备降噪、增强、运动补偿（动态图像自动补偿）、色彩坐标变换处理、钝化处理功能，支持HDR高动态范围图像技术显示(符合CESI-PC-0D74中HDR3.0显示的要求)；</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7.产品正常使用工作达到热平衡状态后，屏体结构金属部分升温≤15℃，绝缘材料温升不超过≤10℃;</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8.模组、接收卡与主板采用硬连接设计，板对板设计，无排线，直接插拔；采用50μ镀金接插件硬连接浮动式接插件设计，可上下左右位置微调，缝隙精准可调；</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9.芯片的波长误差值在±1nm之内，每个灯芯的亮度误差在2.5%以内； </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10.设备在正常工作条件下，连续工作168h，不应出现电、机械或操作系统的故障；</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11.亮度≥1000cd/㎡,0-100%无极可调，软件0-255级可调；对比度≥1000000:1；</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12.色温可调范围：1000K～10000K；色温为6500K时，100%，75%，50%，25%四挡电平白场调节色温误差≤200K；</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13.按照 SJ/T 11281-2017 发光二极管(LED)显示屏测试方法标准中的屏体视角测量要求与方法测得数据：垂直视角上下≥170°，水平左右≥170°；</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14.模组含智能存储电路，可以存储模组生产信息参数、运行参数等等，存储容量≥16kb； </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15.智能节电：LED显示屏具备点检（开路检测）、智能节电功能，开启智能节电功能比没有开启节能40%以上； </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16.</w:t>
            </w:r>
            <w:r>
              <w:rPr>
                <w:rFonts w:hint="eastAsia" w:ascii="宋体" w:hAnsi="宋体" w:cs="宋体"/>
                <w:sz w:val="18"/>
                <w:szCs w:val="18"/>
                <w:highlight w:val="none"/>
                <w:lang w:bidi="ar"/>
              </w:rPr>
              <w:tab/>
            </w:r>
            <w:r>
              <w:rPr>
                <w:rFonts w:hint="eastAsia" w:ascii="宋体" w:hAnsi="宋体" w:cs="宋体"/>
                <w:sz w:val="18"/>
                <w:szCs w:val="18"/>
                <w:highlight w:val="none"/>
                <w:lang w:bidi="ar"/>
              </w:rPr>
              <w:t xml:space="preserve">VICO指数（人眼视觉舒适度），测试值在 0≤VICO＜1 间，属于 I 级舒适度，人眼观看基本无疲劳感；采用独特的面板处理技术（可选哑光、镜面），有效降低炫光及刺目感，显示柔和，观看时无像素颗粒感；LED 表面硬度可达等级≥HRC 8级，防止刮蹭伤害屏幕；</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17.显示屏整屏亮度均匀性≥99%，发光点中心距偏差＜0.5%，整屏色度均匀性±0.002Cx，Cy之内； </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18.防护等级：正面IP65,背面IP65。</w:t>
            </w:r>
            <w:r>
              <w:rPr>
                <w:rFonts w:hint="eastAsia" w:ascii="宋体" w:hAnsi="宋体" w:cs="宋体"/>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ascii="宋体" w:hAnsi="宋体" w:eastAsia="宋体"/>
                <w:sz w:val="18"/>
                <w:szCs w:val="18"/>
                <w:highlight w:val="none"/>
                <w:lang w:val="en-US" w:eastAsia="zh-CN"/>
              </w:rPr>
            </w:pPr>
            <w:r>
              <w:rPr>
                <w:rFonts w:hint="eastAsia" w:ascii="宋体" w:hAnsi="宋体" w:cs="宋体"/>
                <w:color w:val="000000"/>
                <w:sz w:val="18"/>
                <w:szCs w:val="18"/>
                <w:highlight w:val="none"/>
                <w:lang w:val="en-US" w:eastAsia="zh-CN" w:bidi="ar"/>
              </w:rPr>
              <w:t xml:space="preserve">8.505</w:t>
            </w:r>
            <w:r>
              <w:rPr>
                <w:rFonts w:ascii="宋体" w:hAnsi="宋体" w:eastAsia="宋体"/>
                <w:sz w:val="18"/>
                <w:szCs w:val="18"/>
                <w:highlight w:val="none"/>
                <w:lang w:val="en-US" w:eastAsia="zh-CN"/>
              </w:rPr>
            </w:r>
            <w:r/>
          </w:p>
        </w:tc>
        <w:tc>
          <w:tcPr>
            <w:tcW w:w="1612" w:type="dxa"/>
            <w:vAlign w:val="center"/>
            <w:textDirection w:val="lrTb"/>
            <w:noWrap w:val="false"/>
          </w:tcPr>
          <w:p>
            <w:pPr>
              <w:pStyle w:val="664"/>
              <w:spacing w:line="440" w:lineRule="exact"/>
              <w:rPr>
                <w:rFonts w:ascii="宋体" w:hAnsi="宋体" w:eastAsia="宋体"/>
                <w:b/>
                <w:bCs/>
                <w:sz w:val="24"/>
                <w:szCs w:val="24"/>
                <w:highlight w:val="none"/>
                <w:lang w:val="en-US" w:eastAsia="zh-CN"/>
              </w:rPr>
            </w:pPr>
            <w:r>
              <w:rPr>
                <w:rFonts w:hint="eastAsia" w:ascii="宋体" w:hAnsi="宋体"/>
                <w:b/>
                <w:bCs/>
                <w:color w:val="ff0000"/>
                <w:sz w:val="24"/>
                <w:szCs w:val="24"/>
                <w:highlight w:val="none"/>
                <w:lang w:val="en-US" w:eastAsia="zh-CN"/>
              </w:rPr>
              <w:t xml:space="preserve">核心产品</w:t>
            </w:r>
            <w:r>
              <w:rPr>
                <w:rFonts w:ascii="宋体" w:hAnsi="宋体" w:eastAsia="宋体"/>
                <w:b/>
                <w:bCs/>
                <w:sz w:val="24"/>
                <w:szCs w:val="24"/>
                <w:highlight w:val="none"/>
                <w:lang w:val="en-US" w:eastAsia="zh-CN"/>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LED大屏支架</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20"/>
                <w:szCs w:val="20"/>
                <w:highlight w:val="none"/>
              </w:rPr>
            </w:pPr>
            <w:r>
              <w:rPr>
                <w:rFonts w:hint="eastAsia" w:ascii="宋体" w:hAnsi="宋体" w:cs="宋体"/>
                <w:sz w:val="18"/>
                <w:szCs w:val="18"/>
                <w:highlight w:val="none"/>
                <w:lang w:bidi="ar"/>
              </w:rPr>
              <w:t xml:space="preserve">材料：SPCC高强度钢板；表面处理：静电喷塑。</w:t>
            </w:r>
            <w:r>
              <w:rPr>
                <w:rFonts w:hint="eastAsia" w:ascii="宋体" w:hAnsi="宋体" w:cs="宋体"/>
                <w:color w:val="000000"/>
                <w:sz w:val="20"/>
                <w:szCs w:val="20"/>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ascii="宋体" w:hAnsi="宋体" w:eastAsia="宋体"/>
                <w:sz w:val="18"/>
                <w:szCs w:val="18"/>
                <w:highlight w:val="none"/>
                <w:lang w:val="en-US" w:eastAsia="zh-CN"/>
              </w:rPr>
            </w:pPr>
            <w:r>
              <w:rPr>
                <w:rFonts w:hint="eastAsia" w:ascii="宋体" w:hAnsi="宋体" w:cs="宋体"/>
                <w:color w:val="000000"/>
                <w:sz w:val="18"/>
                <w:szCs w:val="18"/>
                <w:highlight w:val="none"/>
                <w:lang w:val="en-US" w:eastAsia="zh-CN" w:bidi="ar"/>
              </w:rPr>
              <w:t xml:space="preserve">8.505</w:t>
            </w:r>
            <w:r>
              <w:rPr>
                <w:rFonts w:ascii="宋体" w:hAnsi="宋体" w:eastAsia="宋体"/>
                <w:sz w:val="18"/>
                <w:szCs w:val="18"/>
                <w:highlight w:val="none"/>
                <w:lang w:val="en-US" w:eastAsia="zh-CN"/>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33</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发送卡</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1.单卡最大带载面积230万像素，最宽支持4096点，或最高支持2560点；</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2.多个千兆网口输出，支持上下、左右及混合型拼接；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3.输出分辨率：最大 1920×1200 像素，支持分辨率任意设置；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4.支持USB接口控制和级联；</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5.支持亮度和色温调节；</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6.支持低亮高灰。</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4</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拼接处理器</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1.双总线结构，模块化、无线缆、无源背板设计；</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2.最大支持视频80*80，音频160*160；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3.支持混插不同功能的输入、输出、画面分割、扩展等功能板，支持任意组合不同的功能模块；</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4.可无缝扩容，增加功能时，不需要更换机箱原机箱、交换板等；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5.本次项目配备16进16出的HDMI接口；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6.支持实时画面实时预览；</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7.单路切换上墙延时≤10ms；</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8.支持自动读取输入信号属性并自适应输出；支持对输入信号源进行缩放、拉伸、平铺后输出；支持截取输入信号的局部图像进行显示；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9.支持任意输出通道独立轮询任意选中的信号源，支持多通道并发轮询；</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10.支持对通道 EDID 信息进行编辑；</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11.支持资源权限划分，即不同的用户可配置不同的信号源和大屏控制权限；多用户同时登录，并发100个以上；</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12.同一输入通道的视频图像在不同输出端口显示的失步误差&lt;1ms；</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13.支持音频与视频独立/随路切换；</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14.支持以可视化方式实时监测显示输入、输出板；</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15.支持双机热备，任意一台故障时信号中断时间&lt;8 秒；</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16.支持主控热备，控制功能热备切换时间&lt;1分钟；</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17. 支持大屏画面布局预案预编辑，编辑过程中不影响正在显示的大屏画面，编辑完成后可将预案一键推送上屏；</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18.所有业务部件可通过客户端在线升级维护。</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rHeight w:val="383"/>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35</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配电柜</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10KW，PLC远程控制，三相五线制输入，AC220V输出。</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sz w:val="24"/>
                <w:szCs w:val="24"/>
                <w:highlight w:val="none"/>
              </w:rPr>
              <w:t xml:space="preserve">视频会议系统</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36</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高清会议终端</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1</w:t>
            </w:r>
            <w:r>
              <w:rPr>
                <w:rFonts w:hint="eastAsia" w:ascii="宋体" w:hAnsi="宋体" w:cs="宋体"/>
                <w:color w:val="000000"/>
                <w:sz w:val="18"/>
                <w:szCs w:val="18"/>
                <w:highlight w:val="none"/>
                <w:lang w:bidi="ar"/>
              </w:rPr>
              <w:t xml:space="preserve">.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2</w:t>
            </w:r>
            <w:r>
              <w:rPr>
                <w:rFonts w:hint="eastAsia" w:ascii="宋体" w:hAnsi="宋体" w:cs="宋体"/>
                <w:color w:val="000000"/>
                <w:sz w:val="18"/>
                <w:szCs w:val="18"/>
                <w:highlight w:val="none"/>
                <w:lang w:bidi="ar"/>
              </w:rPr>
              <w:t xml:space="preserve">.采用硬件分体式结构，非PC架构、非工控机架构</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3</w:t>
            </w:r>
            <w:r>
              <w:rPr>
                <w:rFonts w:hint="eastAsia" w:ascii="宋体" w:hAnsi="宋体" w:cs="宋体"/>
                <w:color w:val="000000"/>
                <w:sz w:val="18"/>
                <w:szCs w:val="18"/>
                <w:highlight w:val="none"/>
                <w:lang w:bidi="ar"/>
              </w:rPr>
              <w:t xml:space="preserve">.终端采用国产嵌入式操作系统</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4</w:t>
            </w:r>
            <w:r>
              <w:rPr>
                <w:rFonts w:hint="eastAsia" w:ascii="宋体" w:hAnsi="宋体" w:cs="宋体"/>
                <w:color w:val="000000"/>
                <w:sz w:val="18"/>
                <w:szCs w:val="18"/>
                <w:highlight w:val="none"/>
                <w:lang w:bidi="ar"/>
              </w:rPr>
              <w:t xml:space="preserve">.支持ITU-T H.320、H.323和IETF SIP、RTC通信标准，会议速率支持128Kbps－8Mbps</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5</w:t>
            </w:r>
            <w:r>
              <w:rPr>
                <w:rFonts w:hint="eastAsia" w:ascii="宋体" w:hAnsi="宋体" w:cs="宋体"/>
                <w:color w:val="000000"/>
                <w:sz w:val="18"/>
                <w:szCs w:val="18"/>
                <w:highlight w:val="none"/>
                <w:lang w:bidi="ar"/>
              </w:rPr>
              <w:t xml:space="preserve">.支持H.264 BP、H.264 HP、H.265视频编解码协议</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6</w:t>
            </w:r>
            <w:r>
              <w:rPr>
                <w:rFonts w:hint="eastAsia" w:ascii="宋体" w:hAnsi="宋体" w:cs="宋体"/>
                <w:color w:val="000000"/>
                <w:sz w:val="18"/>
                <w:szCs w:val="18"/>
                <w:highlight w:val="none"/>
                <w:lang w:bidi="ar"/>
              </w:rPr>
              <w:t xml:space="preserve">.支持G.711A-law、G.711µ-law、G.722、G.729、G.719、G.728、G.722.1C 、MPEG-4 AAC-LD、MPEG-4 AAC-LC、Opus等音频协议，可达到20KHz以上的宽频效果</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7</w:t>
            </w:r>
            <w:r>
              <w:rPr>
                <w:rFonts w:hint="eastAsia" w:ascii="宋体" w:hAnsi="宋体" w:cs="宋体"/>
                <w:color w:val="000000"/>
                <w:sz w:val="18"/>
                <w:szCs w:val="18"/>
                <w:highlight w:val="none"/>
                <w:lang w:bidi="ar"/>
              </w:rPr>
              <w:t xml:space="preserve">.支持1080p60、1080p30、720p60、720p30高清分辨率，并向下兼容4CIF、CIF标清分辨率</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8</w:t>
            </w:r>
            <w:r>
              <w:rPr>
                <w:rFonts w:hint="eastAsia" w:ascii="宋体" w:hAnsi="宋体" w:cs="宋体"/>
                <w:color w:val="000000"/>
                <w:sz w:val="18"/>
                <w:szCs w:val="18"/>
                <w:highlight w:val="none"/>
                <w:lang w:bidi="ar"/>
              </w:rPr>
              <w:t xml:space="preserve">.支持SRTP码流加密，SRTP协议符合RFC3711规范，密钥协商遵循RFC4568规范</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9</w:t>
            </w:r>
            <w:r>
              <w:rPr>
                <w:rFonts w:hint="eastAsia" w:ascii="宋体" w:hAnsi="宋体" w:cs="宋体"/>
                <w:color w:val="000000"/>
                <w:sz w:val="18"/>
                <w:szCs w:val="18"/>
                <w:highlight w:val="none"/>
                <w:lang w:bidi="ar"/>
              </w:rPr>
              <w:t xml:space="preserve">.在保证主视频1080p60fps前提下，辅视频可以支持到1080p60fps</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0</w:t>
            </w:r>
            <w:r>
              <w:rPr>
                <w:rFonts w:hint="eastAsia" w:ascii="宋体" w:hAnsi="宋体" w:cs="宋体"/>
                <w:color w:val="000000"/>
                <w:sz w:val="18"/>
                <w:szCs w:val="18"/>
                <w:highlight w:val="none"/>
                <w:lang w:bidi="ar"/>
              </w:rPr>
              <w:t xml:space="preserve">.支持≥3路高清视频输入接口（至少含2个HDMI输入口）、≥2路高清视频输出接口</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1</w:t>
            </w:r>
            <w:r>
              <w:rPr>
                <w:rFonts w:hint="eastAsia" w:ascii="宋体" w:hAnsi="宋体" w:cs="宋体"/>
                <w:color w:val="000000"/>
                <w:sz w:val="18"/>
                <w:szCs w:val="18"/>
                <w:highlight w:val="none"/>
                <w:lang w:bidi="ar"/>
              </w:rPr>
              <w:t xml:space="preserve">.支持≥6路音频输入接口，≥3路独立的音频输出接口</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2</w:t>
            </w:r>
            <w:r>
              <w:rPr>
                <w:rFonts w:hint="eastAsia" w:ascii="宋体" w:hAnsi="宋体" w:cs="宋体"/>
                <w:color w:val="000000"/>
                <w:sz w:val="18"/>
                <w:szCs w:val="18"/>
                <w:highlight w:val="none"/>
                <w:lang w:bidi="ar"/>
              </w:rPr>
              <w:t xml:space="preserve">.支持2个10/100/1000M以太网接口，支持网口热备份</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3</w:t>
            </w:r>
            <w:r>
              <w:rPr>
                <w:rFonts w:hint="eastAsia" w:ascii="宋体" w:hAnsi="宋体" w:cs="宋体"/>
                <w:color w:val="000000"/>
                <w:sz w:val="18"/>
                <w:szCs w:val="18"/>
                <w:highlight w:val="none"/>
                <w:lang w:bidi="ar"/>
              </w:rPr>
              <w:t xml:space="preserve">.支持内置视频矩阵功能，可在终端控制系统上灵活配置任意视频输入和输出接口之间的对应关系</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4</w:t>
            </w:r>
            <w:r>
              <w:rPr>
                <w:rFonts w:hint="eastAsia" w:ascii="宋体" w:hAnsi="宋体" w:cs="宋体"/>
                <w:color w:val="000000"/>
                <w:sz w:val="18"/>
                <w:szCs w:val="18"/>
                <w:highlight w:val="none"/>
                <w:lang w:bidi="ar"/>
              </w:rPr>
              <w:t xml:space="preserve">.终端控制台支持本地录像，支持直接录制在电脑本机，录制图像格式为MP4，无需转码</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5</w:t>
            </w:r>
            <w:r>
              <w:rPr>
                <w:rFonts w:hint="eastAsia" w:ascii="宋体" w:hAnsi="宋体" w:cs="宋体"/>
                <w:color w:val="000000"/>
                <w:sz w:val="18"/>
                <w:szCs w:val="18"/>
                <w:highlight w:val="none"/>
                <w:lang w:bidi="ar"/>
              </w:rPr>
              <w:t xml:space="preserve">.支持在终端控制软件上对本地和远端会场图像进行实时图像+声音的监控及预览，实时图像帧率可达到30fps。</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center"/>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37</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全景摄像机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 支持壁装、三脚架安装或吊顶安装等多种安装方式，可按用户需求进行安装；</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2.图像传感器采用不小于1/2.8""CMOS图像传感器，支持1080p60、1080p50、1080p30、1080p25、720p60、720p50等高清信号输出；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3.支持不小于12倍光学变倍，支持不小于16倍数字变焦；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4.支持广角镜头，水平视角不小于80°；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5.视频输出接口具备HDMI、USB接口；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6.支持RS422控制接口，支持标准VISCA和PELCO协议，支持摄像机通过控制口实现菊花链控制；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7.支持网口 VISCA控制；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8.支持中英文OSD菜单，可在OSD中对摄像机进行设置；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9.水平转动范围：≥ ±170°，垂直转动范围：≥ -30°～30°；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10.支持自带显示，可方便显示视频输出分辨率；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11.支持保存不少于255个预置位；</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12.支持图像防抖功能，可实现图像防抖；</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13.支持HDR高动态功能，支持图像抗闪烁功能；</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14.支持终端遥控器通过摄像机反向控制会议终端。</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38</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高清摄像机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1. 支持壁装、三脚架安装或吊顶安装等多种安装方式，可按用户需求进行安装；</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2.图像传感器采用不小于1/2.8""CMOS图像传感器，支持1080p60、1080p50、1080p30、1080p25、720p60、720p50等高清信号输出；</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3.支持不小于12倍光学变倍，支持不小于16倍数字变焦；</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4.支持广角镜头，水平视角不小于80°；</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5.视频输出接口具备HDMI、USB接口；</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6.支持RS422控制接口，支持标准VISCA和PELCO协议，支持摄像机通过控制口实现菊花链控制；</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7.支持网口 VISCA控制；</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8.支持中英文OSD菜单，可在OSD中对摄像机进行设置；</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9.水平转动范围：≥ ±170°，垂直转动范围：≥ -30°～30°；</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10.支持自带显示，可方便显示视频输出分辨率；</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11.支持保存不少于255个预置位；</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12.支持图像防抖功能，可实现图像防抖；</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13.支持HDR高动态功能，支持图像抗闪烁功能；</w:t>
            </w:r>
            <w:r>
              <w:rPr>
                <w:rFonts w:hint="eastAsia" w:ascii="宋体" w:hAnsi="宋体"/>
                <w:sz w:val="18"/>
                <w:szCs w:val="18"/>
                <w:highlight w:val="none"/>
              </w:rPr>
            </w:r>
            <w:r/>
          </w:p>
          <w:p>
            <w:pPr>
              <w:pStyle w:val="664"/>
              <w:jc w:val="left"/>
              <w:widowControl/>
              <w:rPr>
                <w:rFonts w:hint="eastAsia" w:ascii="宋体" w:hAnsi="宋体"/>
                <w:sz w:val="18"/>
                <w:szCs w:val="18"/>
                <w:highlight w:val="none"/>
              </w:rPr>
            </w:pPr>
            <w:r>
              <w:rPr>
                <w:rFonts w:hint="eastAsia" w:ascii="宋体" w:hAnsi="宋体"/>
                <w:sz w:val="18"/>
                <w:szCs w:val="18"/>
                <w:highlight w:val="none"/>
              </w:rPr>
              <w:t xml:space="preserve">14.支持终端遥控器通过摄像机反向控制会议终端。</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39</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实物摄像机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1.支持隐藏吊顶安装；</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2.支持1920×1080@60fps超高分辨率图像，可支持0.5Lux光照下采集清晰的图像；</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3.支持20倍光学变焦，16倍数字变焦；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4.分辨率支持1080p60/50，1080p30/25，1080i60/50，720p60/50，720p30/25；</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5.支持3G-SDI输出接口；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6.支持VISCA通讯协议；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7.最低照度0.5Lux（F1.6，50IRE），0.1Lux（日夜模式开，F1.6，50IRE）；</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8.支持白平衡（室内、室外、手动、自动）、曝光模式（自动、快门优先、光圈优先、手动）；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9.支持预置位设置，将摄像机当前位置、变焦等状态保存成预置位，即使电源关闭，预置位信息也不会丢失。</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eastAsia="宋体"/>
                <w:sz w:val="18"/>
                <w:szCs w:val="18"/>
                <w:highlight w:val="none"/>
                <w:lang w:eastAsia="zh-CN"/>
              </w:rPr>
            </w:pPr>
            <w:r>
              <w:rPr>
                <w:rFonts w:hint="eastAsia" w:ascii="宋体" w:hAnsi="宋体" w:cs="宋体"/>
                <w:color w:val="000000"/>
                <w:sz w:val="18"/>
                <w:szCs w:val="18"/>
                <w:highlight w:val="none"/>
                <w:lang w:val="en-US" w:eastAsia="zh-CN" w:bidi="ar"/>
              </w:rPr>
              <w:t xml:space="preserve">台</w:t>
            </w:r>
            <w:r>
              <w:rPr>
                <w:rFonts w:hint="eastAsia" w:ascii="宋体" w:hAnsi="宋体" w:eastAsia="宋体"/>
                <w:sz w:val="18"/>
                <w:szCs w:val="18"/>
                <w:highlight w:val="none"/>
                <w:lang w:eastAsia="zh-CN"/>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sz w:val="24"/>
                <w:szCs w:val="24"/>
                <w:highlight w:val="none"/>
              </w:rPr>
              <w:t xml:space="preserve">发言系统</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40</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麦克风</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1.采用≥Ф14mm镀金膜片咪头，拾音距离≥0.5m；</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2.频响范围：≥20-20KHz；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3.灵敏度：≥-34dB(0dB=1V/Pa@1kHz)；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4.信噪比：≥76dB A计权；</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5.动态范围：≥110dB；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6.内部采用屏蔽线路，有效隔绝外部环境的电磁干扰；</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7.按键采用静音塑胶材质；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8.咪杆支持360°调节；</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9.支持48V幻象供电。</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8</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界面麦克</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1.采用无声式硅胶按键，有效避免机械开关所造成的冲击声；</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2.双超指向拾音咪芯同时工作，保证在有一个咪芯在坏掉的情况也能正常工作，大大提高话筒的使用效率及使用寿命；</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3.采用全部的DSP处理，便于扩展和控制，最大限度减少高频衰减，语音更清晰；</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4.单元采用“T字型”航空头连接，安装更加稳固、轻松、方便，可以随时快速、便捷的搭建不同形式的会议，并且主席单元可随意安排串联在线路中的任何位置；</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5.抗RF射频干扰设计，符合现代的会场环境要求；</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6.麦克风类型：电容式；</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7.指向性：超心型；</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8.频响范围：60~16kHZ；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9.灵敏度：≥-46dBV/Pa；；</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10.最大声压级（1m）：≥125dB(THD&lt;3%)；</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11.系统延时：&lt;17.5ms。</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一拖二手持话筒</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1.采用UHF超高频段，比传统的VHF频段干扰更少；</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2.支持平衡和非平衡两种选择输出端口；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3.支持mic/line两种输出模式，适配不同后级接入设备；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4.真分集接收主机，两套芯片级独立系统同步接收载波频率范围: 630~698MHz；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5.频带宽度: 200kHz；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6.有效工作距离: 100m（空旷无遮挡）；</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7.射频灵敏度: -102 dBm；</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8.信道数量: 181 （15组）；</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9.最大输出电平: XRL（LINE）：7.85 dBV；     </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10.6.35mm（LINE）： 5.25 dBV；</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11.3.5mm（LINE）：4.6 dBV； </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12.天线接口: BNC；</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13.天线阻抗: 50Ω；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14.供电电压: DC12V；</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15.麦克风类型: 动圈麦；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16.指向性: 超心型；</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17.供电: 2*AA；</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18.连续工作时间: 8h（原装电池）。</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套</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sz w:val="24"/>
                <w:szCs w:val="24"/>
                <w:highlight w:val="none"/>
              </w:rPr>
              <w:t xml:space="preserve">扩声系统</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43</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调音台</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16路模拟输入，≥8路平衡式XLR/TRS组合数字增益话放通道、≥2组（4路）立体声输入通道、≥2路高阻单声道·输入通道、≥2路USB播放通道，低本底噪声、多功能参数可调（提供具有CMA标识的第三方检测报告电子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2.内置 USB 录音、播放功能，支持 APE、FLAC、MP3、WAV 等音频格式；内置 4G 存储空间，可上传音频文件进行本机播放；</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3.≥8路DCA编组、≥8路静音编组，输入输出、效果器通道均可编入；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4.每路输入通道具有≥6段参量均衡器、压缩器、噪声门、相位、延时器；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5.每路输出通道具有≥8段参量均衡器、31段图示均衡器、高低通滤波器、压限器、延时器；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6.内置自适应陷波反馈抑制算法；</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7.≥5个效果器类型：单声道延时、立体声延时、合唱、混响、变调；≥4个效果器通道；</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8.双机热备份通过网络数据实时同步；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9.独特的LOCK键，保持现场场景数据或防止误操作；</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10.≥7寸1024x600分辨率高清电容触摸屏，全功能操作控制调音台；</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11.支持30-255组场景预设，可导入USB存储，便于备份调用；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12.内置：正弦波、粉红噪声、白噪声信号发生器；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13.独特的Link连接功能，可进行相邻通道绑定设置，通道名自定义；</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14.跨平台开发平台，支持 Windows、Linux、macOS、Android、iOS 主流操作系统全功能控制软件。</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音频抑制器</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1.抑制器: 采用“陷波”+“移频”双方式进行反馈抑制，也可单独使用；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2.滤波器: 带宽0.404-28.85；</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3.消除反馈时间: 快，中，慢，3档；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4.存储器: 容量4MB；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5.音频输入: 2CH-XLR和1/4“TRS(母)输入,电子平衡/不平衡；</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6.输入阻抗: 平衡47KΩ，不平衡20KΩ；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7.最大输入电平: +18dBu；</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8.音频输出: 2CH-XLR和1/4“TRS(母)输入,电子平衡/不平衡；</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9.输出阻抗: 平衡&gt;120Ω，不平衡&gt;60Ω；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10.最大输出电平: +15dBu；</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11.频率响应: 20Hz-20KHz，±0.3db；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12.信噪比（A记权）: ＞102db；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13.灵敏度: Mic:-20dB/1KHz   Line：0dB/1KHz；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14.总谐波失真: 0.007％, 1KHz; 20Hz-10KH, &lt;0.01％; 10KHz-20KHz, &lt;0.025％；</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15.动态范围: 103dB；</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16.工作电源: 100-240V～,  50Hz/60Hz。</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45</w:t>
            </w:r>
            <w:r>
              <w:rPr>
                <w:rFonts w:hint="eastAsia"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数字音频处理器</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1.≥24bit/48KHz采样频率，A/D、D/A转换器和32-bit浮点DSP处理器；</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2.内置自动混音台，支持混音和自动混音功能，具备混音分量控制功能，输入通道支持48V幻象供电；</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具备反馈消除、回声消除、噪声消除模块；反馈消除：支持陷波式反馈消除算法、手自一体陷波式反馈抑制器，具有手动，动态，固定至少三种模式，可自动抓取反馈点或手动设置反馈点，支持抓取≥16个反馈点，抑制深度≥24d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4.输入通道：支持前级放大、信号发生器、扩展器、压缩器、自动增益、≥5段参量均衡器，≥31段图示均衡器；参量均衡器滤波器类型可选（高架、低架、高切、低切）；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5.输出通道：延时器、分频器、限幅器、≥31段图示均衡器或者≥5段参量均衡器；参量均衡器滤波器类型可选（高架、低架、高切、低切）；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6.输入通道：≥16路，输出通道：≥16路；</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7.配置双向1个RS232接口、1个RS485接口、1个标准以太网控制接口、8通道可编程GPIO控制接口（可自定义输入输出），电平支持外部输入3.3~24V；Ethernet多用途数据传输及控制端口，可以支持实时管理单台及多台设备；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8.有摄像跟踪功能，可独立对一台摄像机进行预置位调整；</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9.USB接口可连接移动U盘设备，支持音频信号录制和播放；</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10.频率响应：20Hz～20KHz,±0.2dB；</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11.总谐波失真：≤0.003%@1kHz,4dBu；</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12.底噪：≤-90dBu；</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13.通道隔离度：≥100dB@1KHz；</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14.共模抑制：≥70dB@50Hz。</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46</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模拟功放</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1.具备“桥接模式，并接模式，立体声模式”三种工作模式可选择；</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2.具备四档输入灵敏度可选择；</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3.阻尼系数：≥5000@ 8 ohms；</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4.总谐波失真：≤0.01%；</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5.信噪比：≥100dB(默认增益，A计权，8Ω)；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6.频率响应：20 Hz~20 kHz；</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7.额定功率：8Ω/立体声：≥4X250W; 4Ω/立体声：≥4X450W; 2Ω/立体声：≥4X723W; 16Ω/桥接：≥2X500W; 8Ω/桥接：≥2X850W; 4Ω/桥接：≥2X1445W；</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8.转换速率：≥28V/us；</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9.保护功能：电源欠压保护、功放输出直流保护、过热保护、温度功率控制、过载功率控制；</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10.具有限幅开关设置，可对过载信号进行削波压限。</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eastAsia="宋体"/>
                <w:sz w:val="18"/>
                <w:szCs w:val="18"/>
                <w:highlight w:val="none"/>
                <w:lang w:eastAsia="zh-CN"/>
              </w:rPr>
            </w:pPr>
            <w:r>
              <w:rPr>
                <w:rFonts w:hint="eastAsia" w:ascii="宋体" w:hAnsi="宋体" w:cs="宋体"/>
                <w:color w:val="000000"/>
                <w:sz w:val="18"/>
                <w:szCs w:val="18"/>
                <w:highlight w:val="none"/>
                <w:lang w:val="en-US" w:eastAsia="zh-CN" w:bidi="ar"/>
              </w:rPr>
              <w:t xml:space="preserve">台</w:t>
            </w:r>
            <w:r>
              <w:rPr>
                <w:rFonts w:hint="eastAsia" w:ascii="宋体" w:hAnsi="宋体" w:eastAsia="宋体"/>
                <w:sz w:val="18"/>
                <w:szCs w:val="18"/>
                <w:highlight w:val="none"/>
                <w:lang w:eastAsia="zh-CN"/>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47</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全频阵列音箱</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1.≥8寸全频音箱；</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2.材质：15厘多层实木夹板；</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3.额定功率≥200W，峰值功率≥800W；</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4.阻抗≤8Ω；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5.灵敏度≥96dB/1W/1M；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6.最大声压级≥118dB，峰值声压级≥126dB；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7.频响范围：76 Hz-20 kHz；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8.水平覆盖角≥80°；</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9.垂直覆盖角≥50°；</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10.低音：≥8"低音×1，高音：≥1.0"高音单元×1。</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只</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48</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8寸吸顶音箱</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1.网罩配备了连接安全绳的销钉设计，并结合≥8颗N42高强磁铁装置，带磁性涂层网罩便于快捷安装；</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2.采用专业的导向孔设计，可有效提升低频的量感与响应力度；</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3.额定功率≥100W；</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4.阻抗8Ω；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5.灵敏度≥92dB/W/M；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6.最大声压级≥108dB；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7.频响范围：70Hz~20KHz；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8.喇叭单元：中低音扬声器：≥1x6.5"铁氧体喇叭单元、高音扬声器：≥1x1"球顶喇叭单元；</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9.分频模式：同轴二分频；</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10.覆盖角度：≥110°*110°；</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11.设备接口：IN输入接口：IN+/-（中间两端子接口）接功放输出、OUT输出接口：OUT+/-（两侧两端子接口）接另一只扬声器的IN接口。</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只</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center"/>
            <w:textDirection w:val="lrTb"/>
            <w:noWrap w:val="false"/>
          </w:tcPr>
          <w:p>
            <w:pPr>
              <w:pStyle w:val="664"/>
              <w:jc w:val="center"/>
              <w:spacing w:line="440" w:lineRule="exact"/>
              <w:rPr>
                <w:rFonts w:hint="eastAsia" w:ascii="宋体" w:hAnsi="宋体"/>
                <w:b/>
                <w:bCs/>
                <w:sz w:val="24"/>
                <w:szCs w:val="24"/>
                <w:highlight w:val="none"/>
              </w:rPr>
            </w:pPr>
            <w:r>
              <w:rPr>
                <w:rFonts w:hint="eastAsia" w:ascii="宋体" w:hAnsi="宋体"/>
                <w:b/>
                <w:bCs/>
                <w:sz w:val="24"/>
                <w:szCs w:val="24"/>
                <w:highlight w:val="none"/>
              </w:rPr>
              <w:t xml:space="preserve">中控矩阵系统</w:t>
            </w:r>
            <w:r>
              <w:rPr>
                <w:rFonts w:hint="eastAsia" w:ascii="宋体" w:hAnsi="宋体"/>
                <w:b/>
                <w:bCs/>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49</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网络中控主机</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#丰富的控制接口，兼容多种控制协议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云端网络通讯型的高端网络云平台中央控制系统主机，采用A8双核CPU，采用800MHz主频的64位内嵌式处理器；1G运行内存，4G Flash闪存；先进可靠的集成技术，提供高速、准确、稳定的云端控制管理；内置红外学习功能，开放式+模块化的用户编程界面，可轻易完成各种复杂的控制功能编程；</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多种网络通讯：CAN、Zigbee、Ethernet、TCP/IP、UDP、WIFI、MODBUS、MQTT、JSON、HTTP；</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出厂标准配置11路串口（2块4路串口扩展卡），可通过编程定义为RS-232、RS-485以及DMX512控制协议，且主机配置2路SPI扩展功能卡槽，可将出厂标配的2块串口扩展卡更换为8路红外扩展卡、8路IO扩展卡等，适应不同项目具体需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配置2路带供电CAN总线控制接口和8路红外接口，其中1-4路支持自定义为红外端口或者IO端口，5-8路支持红外端口；配置1路LAN网络接口，内置红外学习接口；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支持2路带供电CAN总线信号管理，最大管理终端数量可达110台；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主机自带一个双向ZIGBEE通讯基站，可扩展无线串口，无线红外，无线86盒面板，无线灯控模块，无线继电器模块，无线基站通讯距离为空阔地带70米；</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主机配置无线Zigbee通讯功能，无线Zigbee节点与系统保持实时心跳数据通讯,以便系统实时侦测各节点的工作状态；无线Zigbee串口通讯节点支持双向通讯,可定义RS232、RS485、RS422等多种协议；无线Zigbee红外通讯节点支持数据压缩/解压缩算法,有效提高无线通讯带宽,可定义为红外或IO功能控制接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#系统具有常规控制功能，同时具备个性化控制优势</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支持TCP/IP和PJ LINK控制协议，可控制电脑开机与程序关机；配合系统相关软件，支持多媒体播放控制功能，可对播放参数进行设置，如文件选择、音量调节、循环、快进/退、上/下一曲、窗口/全屏等；支持阅读受控电脑内PPT文件，进行翻页、窗口缩放等操作，可打开受控电脑的网页浏览器，进行翻页、窗口缩放等操作，以及后续不断更新和完善的软件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系统支持环境监测传感模块配置，可对室内亮度、温湿度、空气质量、烟雾火警、设备压力等参数进行检测，实时同步至中控系统操作触摸屏界面，并进行智能化调节；同时支持空调与新风系统的控制调节（配合实现本功能的第三方设备必须提供与中控系统对接控制接口，且协议兼容）；</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具备时间轴多线程事件编辑功能与自动时钟同步功能，可精准执行自定义时间预约控制，可实现真正无人值守的自动化管理；</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支持网络扩展功能，可在局域网内通过网络扩展模块任意扩展串口，红外/IO,弱电继电器；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系统支持拖曳操作，可在UI操作界面上直接进行音视频信号的拖曳切换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配置语音终端可支持语音控制功能；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同时兼容IOS系统、Android系统与windows系统的控制终端。</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50</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HDMI矩阵</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1、具有≥8路HDMI输入，≥8路HDMI输出，分辨率最大支持4096x2160@30Hz ，并向下兼容；</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2、HDMI内嵌音频输入和输出，具有≥1路3.5mm音频解嵌输出接口，该接口可同步解嵌指定输出的1路HDMI音频；</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3、具有RS-232输入接口≥1路、RS-232输出接口≥1路、RJ45≥1路，具有1个OFF/ON电源开关；</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4、视频切换功能支持4K30分辨率无缝切换；</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5、内置EDID、支持单独调节每路输出视频分辨率，可单独调节每一路输出的亮度和对比度；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6、每一路输出具有输出视频显示开/关控制按键，可任意管理开/关一路或多路视频的画面显示；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8、支持画面拼接功能、支持不少于16种场景保存调用功能，支持轮询功能；</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9、支持不少于四种控制方式：WEB浏览器控制、上位机软件控制、遥控器控制、串口控制；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10、面板具有LCD显示屏，可显示版本信息、IP地址、输入输出通道的选择状态、EDID信息等；</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11、管理端可直接打开/关闭LCD显示，LCD显示屏待机时间具有多种选择，包含待机显示/不显示/15秒/30秒/60秒等；10、采用触控按键方式，具有按键指示灯，具有待机按键和锁定按键，管理端可一键关闭或打开面板锁；</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12、具有部分中控功能，可支持≥32个可编辑按钮，通过串口输出发命令控制周边设备；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13、电源接口采用航空螺旋口方式,稳定连接；</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14、电源：≤DC 12V。</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20"/>
                <w:szCs w:val="20"/>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双绞线高清HDMI发送器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1.使用CAT5e/6线可以使传输距离达到100-120米1080P；</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2.符合IEEE-568B标准；</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3.支持HDMI 1.3A/TMDS全数字信号；HDMI1.3A,HDCPI1.3,EDID1.4协议 , HDCP 1.1, DVI 1.0；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4.支持最高视频分辨率1080P，不支持1080I；</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5.点对点，无延时无损视频传输；</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6.支持单边供电，支持POE供电功能；</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7.支持学习EDID功能；</w:t>
            </w:r>
            <w:r>
              <w:rPr>
                <w:rFonts w:hint="eastAsia" w:ascii="宋体" w:hAnsi="宋体" w:cs="宋体"/>
                <w:color w:val="000000"/>
                <w:sz w:val="18"/>
                <w:szCs w:val="18"/>
                <w:highlight w:val="none"/>
                <w:lang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8</w:t>
            </w:r>
            <w:r>
              <w:rPr>
                <w:rFonts w:hint="eastAsia" w:ascii="宋体" w:hAnsi="宋体" w:cs="宋体"/>
                <w:color w:val="000000"/>
                <w:sz w:val="18"/>
                <w:szCs w:val="18"/>
                <w:highlight w:val="none"/>
                <w:lang w:bidi="ar"/>
              </w:rPr>
              <w:t xml:space="preserve">.HDMI-A接口，RJ45接口</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只</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双绞线高清HDMI接收器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1.使用CAT5e/6线可以使传输距离达到100-120米1080P；</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2.符合IEEE-568B标准；</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3.支持HDMI 1.3A/TMDS全数字信号；HDMI1.3A,HDCPI1.3,EDID1.4协议 , HDCP 1.1, DVI 1.0；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4.支持最高视频分辨率1080P，不支持1080I；</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5.点对点，无延时无损视频传输；</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6.支持单边供电，支持POE供电功能；</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7.支持学习EDID功能；</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8.HDMI-A接口，RJ45接口。</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只</w:t>
            </w:r>
            <w:r>
              <w:rPr>
                <w:rFonts w:hint="eastAsia" w:ascii="宋体" w:hAnsi="宋体" w:cs="宋体"/>
                <w:color w:val="000000"/>
                <w:sz w:val="20"/>
                <w:szCs w:val="20"/>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20"/>
                <w:szCs w:val="20"/>
                <w:highlight w:val="none"/>
                <w:lang w:bidi="ar"/>
              </w:rPr>
            </w:pPr>
            <w:r>
              <w:rPr>
                <w:rFonts w:hint="eastAsia" w:ascii="宋体" w:hAnsi="宋体" w:cs="宋体"/>
                <w:color w:val="000000"/>
                <w:sz w:val="18"/>
                <w:szCs w:val="18"/>
                <w:highlight w:val="none"/>
                <w:lang w:bidi="ar"/>
              </w:rPr>
              <w:t xml:space="preserve">5</w:t>
            </w:r>
            <w:r>
              <w:rPr>
                <w:rFonts w:hint="eastAsia" w:ascii="宋体" w:hAnsi="宋体" w:cs="宋体"/>
                <w:color w:val="000000"/>
                <w:sz w:val="20"/>
                <w:szCs w:val="20"/>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53</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高清线</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3米。</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根</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专用软件及编程</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中控系统配套软件包含六个软件：触摸屏界面设计器、控制逻辑编程器、主机管理系统、红外代码管理器、PC控制系统及PC控制界面设计器。</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rPr>
                <w:rFonts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55</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会场控制界面模块</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根据采购人需求定制云平台会议集控系统下单独会议室的控制界面；包括：优化操作界面，显示滚动条、设置透明按钮、按钮形状可调等功能，界面逻辑编辑、个性化功能界面定制等。</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56</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8路电源控制器（导轨式50A）</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1、电源电压:12V，标配12V/1A电源；</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2、输出端口:8个独立220V无源输出;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3、输入端口:8个输入端口，一组485输入端口</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4、继电器参数:磁保持继电器，50A 277VAC</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5、待机功耗:0.8W，最大功耗:3W;</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6、输出端口允许最大电压/电流:AC 220V/50A，10万次以上</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7、工作温度:-25~80摄氏度;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8、保存温度:-40~85摄氏度;</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9、保存湿度:5%~95%RH;</w:t>
            </w:r>
            <w:r>
              <w:rPr>
                <w:rFonts w:hint="eastAsia" w:ascii="宋体" w:hAnsi="宋体" w:cs="宋体"/>
                <w:color w:val="000000"/>
                <w:sz w:val="18"/>
                <w:szCs w:val="18"/>
                <w:highlight w:val="none"/>
                <w:lang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10、安装方式:35mm 标准DIN导轨安装</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57</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无线触摸屏</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12.1英寸2.5K轻薄高刷护眼屏 骁龙7Gen3 学习平板，12+256GB。</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58</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无线路由器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双千兆路由器</w:t>
            </w:r>
            <w:r>
              <w:rPr>
                <w:rFonts w:hint="eastAsia" w:ascii="宋体" w:hAnsi="宋体" w:cs="宋体"/>
                <w:color w:val="000000"/>
                <w:sz w:val="18"/>
                <w:szCs w:val="18"/>
                <w:highlight w:val="none"/>
                <w:lang w:eastAsia="zh-CN" w:bidi="ar"/>
              </w:rPr>
              <w:t xml:space="preserve">，</w:t>
            </w:r>
            <w:r>
              <w:rPr>
                <w:rFonts w:hint="eastAsia" w:ascii="宋体" w:hAnsi="宋体" w:cs="宋体"/>
                <w:color w:val="000000"/>
                <w:sz w:val="18"/>
                <w:szCs w:val="18"/>
                <w:highlight w:val="none"/>
                <w:lang w:bidi="ar"/>
              </w:rPr>
              <w:t xml:space="preserve">mesh分布式</w:t>
            </w:r>
            <w:r>
              <w:rPr>
                <w:rFonts w:hint="eastAsia" w:ascii="宋体" w:hAnsi="宋体" w:cs="宋体"/>
                <w:color w:val="000000"/>
                <w:sz w:val="18"/>
                <w:szCs w:val="18"/>
                <w:highlight w:val="none"/>
                <w:lang w:eastAsia="zh-CN" w:bidi="ar"/>
              </w:rPr>
              <w:t xml:space="preserve">；</w:t>
            </w:r>
            <w:r>
              <w:rPr>
                <w:rFonts w:hint="eastAsia" w:ascii="宋体" w:hAnsi="宋体" w:cs="宋体"/>
                <w:color w:val="000000"/>
                <w:sz w:val="18"/>
                <w:szCs w:val="18"/>
                <w:highlight w:val="none"/>
                <w:lang w:bidi="ar"/>
              </w:rPr>
              <w:t xml:space="preserve">无线穿墙 5G双频 </w:t>
            </w:r>
            <w:r>
              <w:rPr>
                <w:rFonts w:hint="eastAsia" w:ascii="宋体" w:hAnsi="宋体" w:cs="宋体"/>
                <w:color w:val="000000"/>
                <w:sz w:val="18"/>
                <w:szCs w:val="18"/>
                <w:highlight w:val="none"/>
                <w:lang w:val="en-US" w:eastAsia="zh-CN" w:bidi="ar"/>
              </w:rPr>
              <w:t xml:space="preserve">支持</w:t>
            </w:r>
            <w:r>
              <w:rPr>
                <w:rFonts w:hint="eastAsia" w:ascii="宋体" w:hAnsi="宋体" w:cs="宋体"/>
                <w:color w:val="000000"/>
                <w:sz w:val="18"/>
                <w:szCs w:val="18"/>
                <w:highlight w:val="none"/>
                <w:lang w:bidi="ar"/>
              </w:rPr>
              <w:t xml:space="preserve">IPv6。</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59</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10寸墙面真彩墙面触摸屏</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65K真彩TFT LCD IPS屏,触屏解析度1024×600像素；</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触屏尺寸为10.0〞，可视角度178°；自带外接供电模块，可支持POE供电或者12V供电；采用安卓10系统，RAM1G+ROM8G；支持墙面安装（86底盒）。</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60</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网络电源时序器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1、在高压1.5kV(10mA)下冲击 60s无损坏</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2、8个国标五孔可控电源插座，单通道最大输出电流不小于10A；</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3、额定总输出电源不小于25A；内置25A电源滤波器；总电源带空气开关；</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4、针对不同设备启动时间，每路电源开关时间支持不小于60秒设定；</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5、前面板带市电电压显示；</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6、不少于24组用户存储模式；</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7、设备支持手动、PC、Android端控制；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8、控制接口不少于1路RS232、1路RJ45；</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9、支持物联网络连接，可实现远程控制。</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sz w:val="28"/>
                <w:szCs w:val="28"/>
                <w:highlight w:val="none"/>
              </w:rPr>
              <w:t xml:space="preserve">其他系统</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42U机柜</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落地机柜，承重：</w:t>
            </w:r>
            <w:r>
              <w:rPr>
                <w:rFonts w:hint="eastAsia" w:ascii="宋体" w:hAnsi="宋体" w:cs="宋体"/>
                <w:color w:val="000000"/>
                <w:sz w:val="18"/>
                <w:szCs w:val="18"/>
                <w:highlight w:val="none"/>
                <w:lang w:val="en-US" w:eastAsia="zh-CN" w:bidi="ar"/>
              </w:rPr>
              <w:t xml:space="preserve">不低于</w:t>
            </w:r>
            <w:r>
              <w:rPr>
                <w:rFonts w:hint="eastAsia" w:ascii="宋体" w:hAnsi="宋体" w:cs="宋体"/>
                <w:color w:val="000000"/>
                <w:sz w:val="18"/>
                <w:szCs w:val="18"/>
                <w:highlight w:val="none"/>
                <w:lang w:bidi="ar"/>
              </w:rPr>
              <w:t xml:space="preserve">1000KG；前后门材质：前单开玻璃门，后钣金门，冷轧板 T=1.2；门开孔百分比：无；侧门材质：冷轧板 T=1.2；门框左右立柱材质：冷轧板 T=1.2（框架）；</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左右支架：冷轧板 T=2.0；</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横梁：冷轧板 T=1.2；</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滚轮：支持，4个；</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脚撑：支持，4个；</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风扇：4个220V风扇；</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辅件：40套安装螺丝，前/后侧门钥匙各两把；</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尺寸（宽*深*高）：600*800*2000 mm。</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top"/>
            <w:textDirection w:val="lrTb"/>
            <w:noWrap w:val="false"/>
          </w:tcPr>
          <w:p>
            <w:pPr>
              <w:pStyle w:val="664"/>
              <w:jc w:val="center"/>
              <w:spacing w:line="440" w:lineRule="exact"/>
              <w:rPr>
                <w:rFonts w:hint="eastAsia" w:ascii="宋体" w:hAnsi="宋体"/>
                <w:sz w:val="24"/>
                <w:szCs w:val="24"/>
                <w:highlight w:val="none"/>
              </w:rPr>
            </w:pPr>
            <w:r>
              <w:rPr>
                <w:rFonts w:hint="eastAsia" w:ascii="宋体" w:hAnsi="宋体"/>
                <w:b/>
                <w:bCs/>
                <w:sz w:val="24"/>
                <w:szCs w:val="24"/>
                <w:highlight w:val="none"/>
              </w:rPr>
              <w:t xml:space="preserve">指挥坐席</w:t>
            </w: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olor w:val="000000"/>
                <w:sz w:val="18"/>
                <w:szCs w:val="18"/>
                <w:highlight w:val="none"/>
              </w:rPr>
            </w:pPr>
            <w:r>
              <w:rPr>
                <w:rFonts w:hint="eastAsia" w:ascii="宋体" w:hAnsi="宋体" w:cs="宋体"/>
                <w:color w:val="000000"/>
                <w:sz w:val="18"/>
                <w:szCs w:val="18"/>
                <w:highlight w:val="none"/>
                <w:lang w:bidi="ar"/>
              </w:rPr>
              <w:t xml:space="preserve">会议椅</w:t>
            </w:r>
            <w:r>
              <w:rPr>
                <w:rFonts w:hint="eastAsia" w:ascii="宋体" w:hAnsi="宋体"/>
                <w:color w:val="000000"/>
                <w:sz w:val="18"/>
                <w:szCs w:val="18"/>
                <w:highlight w:val="none"/>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1、采用进口橡胶木，稳固承重力好，舒适靠背，贴合腰部，带扶手（</w:t>
            </w:r>
            <w:r>
              <w:rPr>
                <w:rFonts w:hint="eastAsia" w:ascii="宋体" w:hAnsi="宋体" w:cs="宋体"/>
                <w:sz w:val="18"/>
                <w:szCs w:val="18"/>
                <w:highlight w:val="none"/>
                <w:lang w:bidi="ar"/>
              </w:rPr>
              <w:t xml:space="preserve">颜色由采购人最终确定</w:t>
            </w:r>
            <w:r>
              <w:rPr>
                <w:rFonts w:hint="eastAsia" w:ascii="宋体" w:hAnsi="宋体" w:cs="宋体"/>
                <w:color w:val="000000"/>
                <w:sz w:val="18"/>
                <w:szCs w:val="18"/>
                <w:highlight w:val="none"/>
                <w:lang w:bidi="ar"/>
              </w:rPr>
              <w:t xml:space="preserve">）；</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2、采用优质环保加厚皮面料，光泽度好，透气性强，柔软而富于弹性，不变形；</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3、采用五底三面的八道油漆涂装工艺，保证产品光泽、平整、纹理清晰、环保、颜色要求内外一致，表面硬度大于2H，耐磨度高于3级。</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把</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30</w:t>
            </w:r>
            <w:r>
              <w:rPr>
                <w:rFonts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63</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sz w:val="18"/>
                <w:szCs w:val="18"/>
                <w:highlight w:val="none"/>
                <w:lang w:bidi="ar"/>
              </w:rPr>
              <w:t xml:space="preserve">会议桌</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1.4350*1600*760（颜色由采购人最终确定）；</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2.基材：采用环保中密度纤维板，经防潮、防虫、防腐处理，抗弯力强，不变形；</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3.面材：采用美国进口0.6mmAAA级胡桃木皮，含水率低于0.9%，采用进口胡桃实木封边；</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4.油漆：采用优质环保净味油漆，附着力强、流平性高，涂层亮度均匀不褪色，色泽柔和，手感良好；</w:t>
            </w:r>
            <w:r>
              <w:rPr>
                <w:rFonts w:hint="eastAsia" w:ascii="宋体" w:hAnsi="宋体" w:cs="宋体"/>
                <w:sz w:val="18"/>
                <w:szCs w:val="18"/>
                <w:highlight w:val="none"/>
                <w:lang w:bidi="ar"/>
              </w:rPr>
            </w:r>
            <w:r/>
          </w:p>
          <w:p>
            <w:pPr>
              <w:pStyle w:val="664"/>
              <w:jc w:val="left"/>
              <w:widowControl/>
              <w:rPr>
                <w:rFonts w:hint="eastAsia" w:ascii="宋体" w:hAnsi="宋体" w:cs="宋体"/>
                <w:sz w:val="18"/>
                <w:szCs w:val="18"/>
                <w:highlight w:val="none"/>
                <w:lang w:bidi="ar"/>
              </w:rPr>
            </w:pPr>
            <w:r>
              <w:rPr>
                <w:rFonts w:hint="eastAsia" w:ascii="宋体" w:hAnsi="宋体" w:cs="宋体"/>
                <w:sz w:val="18"/>
                <w:szCs w:val="18"/>
                <w:highlight w:val="none"/>
                <w:lang w:bidi="ar"/>
              </w:rPr>
              <w:t xml:space="preserve">5.五金配件：采用优质五金配件、防腐处理，经久耐用。</w:t>
            </w:r>
            <w:r>
              <w:rPr>
                <w:rFonts w:hint="eastAsia" w:ascii="宋体" w:hAnsi="宋体" w:cs="宋体"/>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张</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6"/>
            <w:tcW w:w="9818" w:type="dxa"/>
            <w:vAlign w:val="center"/>
            <w:textDirection w:val="lrTb"/>
            <w:noWrap w:val="false"/>
          </w:tcPr>
          <w:p>
            <w:pPr>
              <w:pStyle w:val="664"/>
              <w:jc w:val="center"/>
              <w:spacing w:line="440" w:lineRule="exact"/>
              <w:rPr>
                <w:rFonts w:ascii="宋体" w:hAnsi="宋体"/>
                <w:b/>
                <w:bCs/>
                <w:sz w:val="24"/>
                <w:szCs w:val="24"/>
                <w:highlight w:val="none"/>
              </w:rPr>
            </w:pPr>
            <w:r>
              <w:rPr>
                <w:rFonts w:hint="eastAsia" w:ascii="宋体" w:hAnsi="宋体"/>
                <w:b/>
                <w:bCs/>
                <w:sz w:val="24"/>
                <w:szCs w:val="24"/>
                <w:highlight w:val="none"/>
              </w:rPr>
              <w:t xml:space="preserve">（四）服务器等</w:t>
            </w:r>
            <w:r>
              <w:rPr>
                <w:rFonts w:ascii="宋体" w:hAnsi="宋体"/>
                <w:b/>
                <w:bCs/>
                <w:sz w:val="24"/>
                <w:szCs w:val="24"/>
                <w:highlight w:val="none"/>
              </w:rPr>
            </w:r>
            <w:r/>
          </w:p>
        </w:tc>
      </w:tr>
      <w:tr>
        <w:trPr/>
        <w:tc>
          <w:tcPr>
            <w:gridSpan w:val="6"/>
            <w:tcW w:w="9818" w:type="dxa"/>
            <w:vAlign w:val="top"/>
            <w:textDirection w:val="lrTb"/>
            <w:noWrap w:val="false"/>
          </w:tcPr>
          <w:p>
            <w:pPr>
              <w:pStyle w:val="664"/>
              <w:jc w:val="center"/>
              <w:spacing w:line="440" w:lineRule="exact"/>
              <w:rPr>
                <w:rFonts w:ascii="宋体" w:hAnsi="宋体"/>
                <w:b/>
                <w:bCs/>
                <w:sz w:val="24"/>
                <w:szCs w:val="24"/>
                <w:highlight w:val="none"/>
              </w:rPr>
            </w:pPr>
            <w:r>
              <w:rPr>
                <w:rFonts w:hint="eastAsia" w:ascii="宋体" w:hAnsi="宋体"/>
                <w:b/>
                <w:bCs/>
                <w:sz w:val="24"/>
                <w:szCs w:val="24"/>
                <w:highlight w:val="none"/>
              </w:rPr>
              <w:t xml:space="preserve">登记大厅</w:t>
            </w:r>
            <w:r>
              <w:rPr>
                <w:rFonts w:ascii="宋体" w:hAnsi="宋体"/>
                <w:b/>
                <w:bCs/>
                <w:sz w:val="24"/>
                <w:szCs w:val="24"/>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X光机</w:t>
            </w:r>
            <w:r>
              <w:rPr>
                <w:rFonts w:hint="eastAsia" w:ascii="宋体" w:hAnsi="宋体"/>
                <w:sz w:val="18"/>
                <w:szCs w:val="18"/>
                <w:highlight w:val="none"/>
              </w:rPr>
            </w:r>
            <w:r/>
          </w:p>
        </w:tc>
        <w:tc>
          <w:tcPr>
            <w:tcW w:w="4975" w:type="dxa"/>
            <w:vAlign w:val="top"/>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1.通道尺寸：500mm×300mm（宽×高）；</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2.外形尺寸：1483 mm×730 mm×1060 mm（长×宽×高）；</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3.传送带高度：600mm；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4.线分辨力：设备在0.22m/s速度正常工作时，能够分辨最小单根实芯铜线直径Φ0127mm；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5.穿透分辨力：设备在0.22m/s速度正常工作时，能够分辨合金铝阶梯下最小单根实芯铜线直径Φ0.254mm；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6.空间分辨力：设备在0.22m/s速度正常工作时，能够分辨最小线对直径1.0mm；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7.穿透力：设备在0.22m/s速度正常工作时，能够穿透不小于6mm厚的钢板；</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8.图像回拉：设备可按图像生成顺序连续回调当前用户的历史过检图像，无图像数量限制；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9.周围剂量当量率：设备在0.22m/s速度下正常工作时，在距设备的任何可达表面0.1m处（包括设备的入口、出口处）周围剂量当量率≤1μSv/h；工作人员位置的周围剂量当量率应≤0.5μSv/h；</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10.X射线冷却/工作周期：油冷/连续；</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11.设备噪声：设备正常工作时在距设备外表面1m的任意处，设备噪声应≤60dB(A)；</w:t>
            </w:r>
            <w:r>
              <w:rPr>
                <w:rFonts w:hint="eastAsia" w:ascii="宋体" w:hAnsi="宋体" w:cs="宋体"/>
                <w:color w:val="000000"/>
                <w:sz w:val="18"/>
                <w:szCs w:val="18"/>
                <w:highlight w:val="none"/>
                <w:lang w:bidi="ar"/>
              </w:rPr>
            </w:r>
            <w:r/>
          </w:p>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12.外壳防护等级应符合GB/T 4208-2017的规定，不低于IP20的要求；</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13.主控和终端应能自动校时,具有计时备份功能,当任何一方突发异常情况时,均可又对终端进行校时,恢复设备的正常计时功能；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14.当物品到达设备腔体中部后至开始呈现图像的图像成像时间应&lt;0.5s；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15.设备孔隙检查：整机外露进入设备孔隙应小于6mm。</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65</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侦查平台服务器</w:t>
            </w:r>
            <w:r>
              <w:rPr>
                <w:rFonts w:hint="eastAsia" w:ascii="宋体" w:hAnsi="宋体"/>
                <w:sz w:val="18"/>
                <w:szCs w:val="18"/>
                <w:highlight w:val="none"/>
              </w:rPr>
            </w:r>
            <w:r/>
          </w:p>
        </w:tc>
        <w:tc>
          <w:tcPr>
            <w:tcW w:w="4975" w:type="dxa"/>
            <w:vAlign w:val="top"/>
            <w:textDirection w:val="lrTb"/>
            <w:noWrap w:val="false"/>
          </w:tcPr>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1、品牌：国产品牌，非OEM产品</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2、处理器：配置≥2颗国产C86处理器；单颗性能不低于≥32核，≥2.0G主频</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3、内存：配置≥256GB DDR4内存</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4、硬盘：配置≥2块240G SSD硬盘，4块3.84T SSD硬盘</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5、RAID卡：配置1张4G独立RAID卡，支持RAID0,1,5</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6、网卡：≥配置2个千兆电口，双口万兆光口（含多模模块）</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bidi="ar"/>
              </w:rPr>
              <w:t xml:space="preserve">7、电源：≥配置2个600W热插拔电源</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8</w:t>
            </w:r>
            <w:r>
              <w:rPr>
                <w:rFonts w:hint="eastAsia" w:ascii="宋体" w:hAnsi="宋体" w:cs="宋体"/>
                <w:color w:val="000000"/>
                <w:sz w:val="18"/>
                <w:szCs w:val="18"/>
                <w:highlight w:val="none"/>
                <w:lang w:bidi="ar"/>
              </w:rPr>
              <w:t xml:space="preserve">、安全：为防止监控口安全泄露等问题发生，监控管理系统固件需通过EAL4级</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eastAsia="宋体" w:cs="宋体"/>
                <w:color w:val="000000"/>
                <w:sz w:val="18"/>
                <w:szCs w:val="18"/>
                <w:highlight w:val="none"/>
                <w:lang w:eastAsia="zh-CN" w:bidi="ar"/>
              </w:rPr>
            </w:pPr>
            <w:r>
              <w:rPr>
                <w:rFonts w:hint="eastAsia" w:ascii="宋体" w:hAnsi="宋体" w:cs="宋体"/>
                <w:color w:val="000000"/>
                <w:sz w:val="18"/>
                <w:szCs w:val="18"/>
                <w:highlight w:val="none"/>
                <w:lang w:val="en-US" w:eastAsia="zh-CN" w:bidi="ar"/>
              </w:rPr>
              <w:t xml:space="preserve">9</w:t>
            </w:r>
            <w:r>
              <w:rPr>
                <w:rFonts w:hint="eastAsia" w:ascii="宋体" w:hAnsi="宋体" w:cs="宋体"/>
                <w:color w:val="000000"/>
                <w:sz w:val="18"/>
                <w:szCs w:val="18"/>
                <w:highlight w:val="none"/>
                <w:lang w:bidi="ar"/>
              </w:rPr>
              <w:t xml:space="preserve">、质保服务：提供三年质保服务</w:t>
            </w:r>
            <w:r>
              <w:rPr>
                <w:rFonts w:hint="eastAsia" w:ascii="宋体" w:hAnsi="宋体" w:cs="宋体"/>
                <w:color w:val="000000"/>
                <w:sz w:val="18"/>
                <w:szCs w:val="18"/>
                <w:highlight w:val="none"/>
                <w:lang w:eastAsia="zh-CN" w:bidi="ar"/>
              </w:rPr>
              <w:t xml:space="preserve">；</w:t>
            </w:r>
            <w:r>
              <w:rPr>
                <w:rFonts w:hint="eastAsia" w:ascii="宋体" w:hAnsi="宋体" w:eastAsia="宋体" w:cs="宋体"/>
                <w:color w:val="000000"/>
                <w:sz w:val="18"/>
                <w:szCs w:val="18"/>
                <w:highlight w:val="none"/>
                <w:lang w:eastAsia="zh-CN"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0</w:t>
            </w:r>
            <w:r>
              <w:rPr>
                <w:rFonts w:hint="eastAsia" w:ascii="宋体" w:hAnsi="宋体" w:cs="宋体"/>
                <w:color w:val="000000"/>
                <w:sz w:val="18"/>
                <w:szCs w:val="18"/>
                <w:highlight w:val="none"/>
                <w:lang w:bidi="ar"/>
              </w:rPr>
              <w:t xml:space="preserve">、操作系统：提供国产麒麟操作系统V10版本。</w:t>
            </w:r>
            <w:r>
              <w:rPr>
                <w:rFonts w:hint="eastAsia" w:ascii="宋体" w:hAnsi="宋体" w:cs="宋体"/>
                <w:color w:val="000000"/>
                <w:sz w:val="18"/>
                <w:szCs w:val="18"/>
                <w:highlight w:val="none"/>
                <w:lang w:bidi="ar"/>
              </w:rPr>
            </w:r>
            <w:r/>
          </w:p>
          <w:p>
            <w:pPr>
              <w:pStyle w:val="664"/>
              <w:jc w:val="left"/>
              <w:widowControl/>
              <w:rPr>
                <w:rFonts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val="en-US" w:eastAsia="zh-CN" w:bidi="ar"/>
              </w:rPr>
              <w:t xml:space="preserve">▲11、管理要求：服务器配套管理软件需满足主流厂商服务器、存储、网络设备、安全设备及多芯片架构设备的统一管理，确保数据中心内所有设备实现统一平台监控，提供功能界面截图。</w:t>
            </w:r>
            <w:r>
              <w:rPr>
                <w:rFonts w:ascii="宋体" w:hAnsi="宋体" w:eastAsia="宋体" w:cs="宋体"/>
                <w:color w:val="000000"/>
                <w:sz w:val="18"/>
                <w:szCs w:val="18"/>
                <w:highlight w:val="none"/>
                <w:lang w:val="en-US" w:eastAsia="zh-CN" w:bidi="ar"/>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eastAsia="宋体"/>
                <w:sz w:val="18"/>
                <w:szCs w:val="18"/>
                <w:highlight w:val="none"/>
                <w:lang w:eastAsia="zh-CN"/>
              </w:rPr>
            </w:pPr>
            <w:r>
              <w:rPr>
                <w:rFonts w:hint="eastAsia" w:ascii="宋体" w:hAnsi="宋体" w:cs="宋体"/>
                <w:color w:val="000000"/>
                <w:sz w:val="18"/>
                <w:szCs w:val="18"/>
                <w:highlight w:val="none"/>
                <w:lang w:val="en-US" w:eastAsia="zh-CN" w:bidi="ar"/>
              </w:rPr>
              <w:t xml:space="preserve">3</w:t>
            </w:r>
            <w:r>
              <w:rPr>
                <w:rFonts w:hint="eastAsia" w:ascii="宋体" w:hAnsi="宋体" w:eastAsia="宋体"/>
                <w:sz w:val="18"/>
                <w:szCs w:val="18"/>
                <w:highlight w:val="none"/>
                <w:lang w:eastAsia="zh-CN"/>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gridSpan w:val="6"/>
            <w:tcW w:w="9818" w:type="dxa"/>
            <w:vAlign w:val="center"/>
            <w:textDirection w:val="lrTb"/>
            <w:noWrap w:val="false"/>
          </w:tcPr>
          <w:p>
            <w:pPr>
              <w:pStyle w:val="664"/>
              <w:jc w:val="center"/>
              <w:spacing w:line="440" w:lineRule="exact"/>
              <w:rPr>
                <w:rFonts w:hint="eastAsia" w:ascii="宋体" w:hAnsi="宋体"/>
                <w:sz w:val="18"/>
                <w:szCs w:val="18"/>
                <w:highlight w:val="none"/>
              </w:rPr>
            </w:pPr>
            <w:r>
              <w:rPr>
                <w:rFonts w:hint="eastAsia" w:ascii="宋体" w:hAnsi="宋体"/>
                <w:b/>
                <w:bCs/>
                <w:highlight w:val="none"/>
              </w:rPr>
              <w:t xml:space="preserve">（五）卷宗管理</w:t>
            </w: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66</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智能人脸物品主柜</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1.屏幕应为8英寸触摸屏，应支持多点触控；</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2.RJ45以太网接口×1个，RS485接口×1个，喇叭扬声器×1个，拾音器×1个，AC220V电源接口×1个。</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▲3.设备采用双目摄像头，具备红外补光灯，应支持人脸识别活体检测（提供具有CMA标识的第三方检测报告电子件）。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4.设备应支持20000张人脸库；</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5.设备采用主副分体式设计，主柜可通过RS485连接副柜；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6.设备应至少支持以下几种开柜方式：人脸、刷卡、web远程开柜、机械钥匙；</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7.设备应支持断电上锁、断电保护、断网续传功能；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8.设备应支持多张图片循环播放；</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9.设备应支持至少两种访问模式：员工、访客；格口支持设置一人一格、一人多格、多人一格；</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10.设备应支持自助选择格口或绑定人员和格口；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11.web功能：人员信息与权限配置、可视对讲、视频预览、远程锁柜、远程开柜；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12.设备应支持人员权限时段配置，权限过期自动锁定格口；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13.设备应支持格口存取时段配置；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14.设备应支持存储存取记录，可按人、按时间、按柜等方式进行检索。</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67</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智能人脸物品副柜（十二格口透明）</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ascii="宋体" w:hAnsi="宋体"/>
                <w:sz w:val="18"/>
                <w:szCs w:val="18"/>
                <w:highlight w:val="none"/>
              </w:rPr>
            </w:pPr>
            <w:r>
              <w:rPr>
                <w:rFonts w:hint="eastAsia" w:ascii="宋体" w:hAnsi="宋体" w:cs="宋体"/>
                <w:color w:val="000000"/>
                <w:sz w:val="18"/>
                <w:szCs w:val="18"/>
                <w:highlight w:val="none"/>
                <w:lang w:bidi="ar"/>
              </w:rPr>
              <w:t xml:space="preserve">1.12格副柜；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2.板材厚度：1.0mm；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3.与主柜连接方式：通过RS485进行通信；</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4.供电电源：12V 2A（主柜供电，无需单独配电源）；</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5.RS485：1；</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6.电源：DC12V；</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7.材质：冷轧钢。</w:t>
            </w:r>
            <w:r>
              <w:rPr>
                <w:rFonts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68</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智能人脸物品副柜（十二格口非透明）</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1.12格副柜；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2.板材厚度：1.0mm；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3.与主柜连接方式：通过RS485进行通信；</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4.供电电源：12V 2A（主柜供电，无需单独配电源）；</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5.RS485：1；</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6.电源：DC12V；</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7.材质：冷轧钢。</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69</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标签打印机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1.体积小、重量轻、携带方便；</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2.低噪音、80mm/s高速打印；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3.电池容量：2000mAh；</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4.热敏打印：是。</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70</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二维码标签打印纸（耗材）</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40mm*75mm热敏标签打印纸。</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卷</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40</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扫描枪</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ascii="宋体" w:hAnsi="宋体"/>
                <w:sz w:val="18"/>
                <w:szCs w:val="18"/>
                <w:highlight w:val="none"/>
              </w:rPr>
            </w:pPr>
            <w:r>
              <w:rPr>
                <w:rFonts w:hint="eastAsia" w:ascii="宋体" w:hAnsi="宋体" w:cs="宋体"/>
                <w:color w:val="000000"/>
                <w:sz w:val="18"/>
                <w:szCs w:val="18"/>
                <w:highlight w:val="none"/>
                <w:lang w:bidi="ar"/>
              </w:rPr>
              <w:t xml:space="preserve">1.采用自主研发的高效条码识别算法，可高效读取一维码及二维码；</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2.可有效应对条码脏污、缺损、低对比度等情形；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3.支持连续读码、批量读码模式，大大提高多码场景读取效率；</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4.支持USB HID，USB CDC等传输协议；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5.外观采用线材分离式设计，便于更换使用；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6.识读码制：一维码：Code 39，Code 93，Code 128，CodaBar，EAN8，EAN13，Matrix 2 of 5，ITF14，UPCA，UPCE等；二维码：QR Code，Data Matrix等。</w:t>
            </w:r>
            <w:r>
              <w:rPr>
                <w:rFonts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高拍仪</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1.主摄像头：1000万像素，手动对焦；</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2.副摄像头：200万像素，支持自动对焦，支持水平、上下旋转，可灵活调整拍摄角度；</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3.产品高度：≤400mm，立杆高度可调整，以适应A3及以下的拍摄幅面；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4.扫描类型：支持证件、票据、文档、书籍、图片、立体实物、人脸照片的数据采集存档和动态展示；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5.扫描速度：≤1秒；</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6.感光元件：CMOS传感器；符合UVC标准；</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7.图片格式：JPG、TIF、PDF、BMP、TGA、PCX、PNG、RAS等， 支持一键生成PDF文件；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8.视频格式：MP4、AVI、WMV等；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9.接口类型：USB 2.0，支持外接电源 WDM Driver、VFWDriver、TWAIN接口；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10.台架底板：支持不低于2个USB扩展口，底板应包含纸张、身份证刻度，刻度采用颜色与底板颜色的色差较小，且可以通过触摸区分；</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11.操作系统：Microsoft Windows 2000(SP4)/2003/XP/Vista/Win7、8、10/Linux/国产操作系统。</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73</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USB摄像机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1.传感器类型：2 MP CMOS；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2.最高分辨率：1920 × 1080；</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3.最低照度：0.1 Lux @(F1.2, AGC ON)；</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4.镜头：定焦：2.1 mm（2.8 mm/3.6 mm/6 mm可选）；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5.拾音距离：3m；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6.线缆长度：2m；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7.音频输入：内置麦克风；</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8.供电方式：DC5 V ± 5%（USB接口）。</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指纹数字签名板</w:t>
            </w:r>
            <w:r>
              <w:rPr>
                <w:rFonts w:hint="eastAsia" w:ascii="宋体" w:hAnsi="宋体"/>
                <w:sz w:val="18"/>
                <w:szCs w:val="18"/>
                <w:highlight w:val="none"/>
              </w:rPr>
            </w:r>
            <w:r/>
          </w:p>
        </w:tc>
        <w:tc>
          <w:tcPr>
            <w:tcW w:w="4975" w:type="dxa"/>
            <w:vAlign w:val="center"/>
            <w:textDirection w:val="lrTb"/>
            <w:noWrap w:val="false"/>
          </w:tcPr>
          <w:p>
            <w:pPr>
              <w:pStyle w:val="664"/>
              <w:numPr>
                <w:ilvl w:val="0"/>
                <w:numId w:val="0"/>
              </w:numPr>
              <w:jc w:val="left"/>
              <w:widowControl/>
              <w:rPr>
                <w:rFonts w:hint="eastAsia" w:ascii="宋体" w:hAnsi="宋体" w:eastAsia="宋体" w:cs="宋体"/>
                <w:strike w:val="0"/>
                <w:color w:val="000000"/>
                <w:sz w:val="18"/>
                <w:szCs w:val="18"/>
                <w:highlight w:val="none"/>
                <w:lang w:eastAsia="zh-CN" w:bidi="ar"/>
              </w:rPr>
            </w:pPr>
            <w:r>
              <w:rPr>
                <w:rFonts w:hint="eastAsia" w:ascii="宋体" w:hAnsi="宋体" w:cs="宋体"/>
                <w:strike w:val="0"/>
                <w:color w:val="000000"/>
                <w:sz w:val="18"/>
                <w:szCs w:val="18"/>
                <w:highlight w:val="none"/>
                <w:lang w:val="en-US" w:eastAsia="zh-CN" w:bidi="ar"/>
              </w:rPr>
              <w:t xml:space="preserve">1.</w:t>
            </w:r>
            <w:r>
              <w:rPr>
                <w:rFonts w:hint="eastAsia" w:ascii="宋体" w:hAnsi="宋体" w:cs="宋体"/>
                <w:strike w:val="0"/>
                <w:color w:val="000000"/>
                <w:sz w:val="18"/>
                <w:szCs w:val="18"/>
                <w:highlight w:val="none"/>
                <w:lang w:bidi="ar"/>
              </w:rPr>
              <w:t xml:space="preserve">支持电子签名捺印</w:t>
            </w:r>
            <w:r>
              <w:rPr>
                <w:rFonts w:hint="eastAsia" w:ascii="宋体" w:hAnsi="宋体" w:cs="宋体"/>
                <w:strike w:val="0"/>
                <w:color w:val="000000"/>
                <w:sz w:val="18"/>
                <w:szCs w:val="18"/>
                <w:highlight w:val="none"/>
                <w:lang w:eastAsia="zh-CN" w:bidi="ar"/>
              </w:rPr>
              <w:t xml:space="preserve">；</w:t>
            </w:r>
            <w:r>
              <w:rPr>
                <w:rFonts w:hint="eastAsia" w:ascii="宋体" w:hAnsi="宋体" w:cs="宋体"/>
                <w:strike/>
                <w:color w:val="000000"/>
                <w:sz w:val="18"/>
                <w:szCs w:val="18"/>
                <w:highlight w:val="none"/>
                <w:lang w:bidi="ar"/>
              </w:rPr>
              <w:br w:type="textWrapping" w:clear="all"/>
            </w:r>
            <w:r>
              <w:rPr>
                <w:rFonts w:hint="eastAsia" w:ascii="宋体" w:hAnsi="宋体" w:cs="宋体"/>
                <w:strike w:val="0"/>
                <w:color w:val="000000"/>
                <w:sz w:val="18"/>
                <w:szCs w:val="18"/>
                <w:highlight w:val="none"/>
                <w:lang w:val="en-US" w:eastAsia="zh-CN" w:bidi="ar"/>
              </w:rPr>
              <w:t xml:space="preserve">2.</w:t>
            </w:r>
            <w:r>
              <w:rPr>
                <w:rFonts w:hint="eastAsia" w:ascii="宋体" w:hAnsi="宋体" w:cs="宋体"/>
                <w:strike w:val="0"/>
                <w:color w:val="000000"/>
                <w:sz w:val="18"/>
                <w:szCs w:val="18"/>
                <w:highlight w:val="none"/>
                <w:lang w:bidi="ar"/>
              </w:rPr>
              <w:t xml:space="preserve">终端内置安卓系统，提供原笔迹签名、信息交互等</w:t>
            </w:r>
            <w:r>
              <w:rPr>
                <w:rFonts w:hint="eastAsia" w:ascii="宋体" w:hAnsi="宋体" w:cs="宋体"/>
                <w:strike w:val="0"/>
                <w:color w:val="000000"/>
                <w:sz w:val="18"/>
                <w:szCs w:val="18"/>
                <w:highlight w:val="none"/>
                <w:lang w:eastAsia="zh-CN" w:bidi="ar"/>
              </w:rPr>
              <w:t xml:space="preserve">；</w:t>
            </w:r>
            <w:r>
              <w:rPr>
                <w:rFonts w:hint="eastAsia" w:ascii="宋体" w:hAnsi="宋体" w:cs="宋体"/>
                <w:strike w:val="0"/>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3.兼容性USB2.0；</w:t>
            </w:r>
            <w:r>
              <w:rPr>
                <w:rFonts w:hint="eastAsia" w:ascii="宋体" w:hAnsi="宋体" w:cs="宋体"/>
                <w:color w:val="000000"/>
                <w:sz w:val="18"/>
                <w:szCs w:val="18"/>
                <w:highlight w:val="none"/>
                <w:lang w:bidi="ar"/>
              </w:rPr>
              <w:br w:type="textWrapping" w:clear="all"/>
            </w:r>
            <w:r>
              <w:rPr>
                <w:rFonts w:hint="eastAsia" w:ascii="宋体" w:hAnsi="宋体" w:cs="宋体"/>
                <w:strike w:val="0"/>
                <w:color w:val="000000"/>
                <w:sz w:val="18"/>
                <w:szCs w:val="18"/>
                <w:highlight w:val="none"/>
                <w:lang w:bidi="ar"/>
              </w:rPr>
              <w:t xml:space="preserve">4.高度集成，集成视频、音频、笔迹书写等诸多功能模块</w:t>
            </w:r>
            <w:r>
              <w:rPr>
                <w:rFonts w:hint="eastAsia" w:ascii="宋体" w:hAnsi="宋体" w:cs="宋体"/>
                <w:strike w:val="0"/>
                <w:color w:val="000000"/>
                <w:sz w:val="18"/>
                <w:szCs w:val="18"/>
                <w:highlight w:val="none"/>
                <w:lang w:eastAsia="zh-CN" w:bidi="ar"/>
              </w:rPr>
              <w:t xml:space="preserve">；</w:t>
            </w:r>
            <w:r>
              <w:rPr>
                <w:rFonts w:hint="eastAsia" w:ascii="宋体" w:hAnsi="宋体" w:eastAsia="宋体" w:cs="宋体"/>
                <w:strike w:val="0"/>
                <w:color w:val="000000"/>
                <w:sz w:val="18"/>
                <w:szCs w:val="18"/>
                <w:highlight w:val="none"/>
                <w:lang w:eastAsia="zh-CN" w:bidi="ar"/>
              </w:rPr>
            </w:r>
            <w:r/>
          </w:p>
          <w:p>
            <w:pPr>
              <w:pStyle w:val="664"/>
              <w:numPr>
                <w:ilvl w:val="0"/>
                <w:numId w:val="0"/>
              </w:numPr>
              <w:jc w:val="left"/>
              <w:widowControl/>
              <w:rPr>
                <w:rFonts w:hint="eastAsia" w:ascii="宋体" w:hAnsi="宋体" w:cs="宋体"/>
                <w:color w:val="000000"/>
                <w:sz w:val="18"/>
                <w:szCs w:val="18"/>
                <w:highlight w:val="none"/>
                <w:lang w:bidi="ar"/>
              </w:rPr>
            </w:pPr>
            <w:r>
              <w:rPr>
                <w:rFonts w:hint="eastAsia" w:ascii="宋体" w:hAnsi="宋体" w:cs="宋体"/>
                <w:strike w:val="0"/>
                <w:color w:val="000000"/>
                <w:sz w:val="18"/>
                <w:szCs w:val="18"/>
                <w:highlight w:val="none"/>
                <w:lang w:bidi="ar"/>
              </w:rPr>
              <w:t xml:space="preserve">5.终端内置国密芯片，对整机的用户静态数据都能进行加密处理，保障用户的静态数据安全</w:t>
            </w:r>
            <w:r>
              <w:rPr>
                <w:rFonts w:hint="eastAsia" w:ascii="宋体" w:hAnsi="宋体" w:cs="宋体"/>
                <w:strike w:val="0"/>
                <w:color w:val="000000"/>
                <w:sz w:val="18"/>
                <w:szCs w:val="18"/>
                <w:highlight w:val="none"/>
                <w:lang w:eastAsia="zh-CN" w:bidi="ar"/>
              </w:rPr>
              <w:t xml:space="preserve">；</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val="en-US" w:eastAsia="zh-CN" w:bidi="ar"/>
              </w:rPr>
              <w:t xml:space="preserve">6</w:t>
            </w:r>
            <w:r>
              <w:rPr>
                <w:rFonts w:hint="eastAsia" w:ascii="宋体" w:hAnsi="宋体" w:cs="宋体"/>
                <w:color w:val="000000"/>
                <w:sz w:val="18"/>
                <w:szCs w:val="18"/>
                <w:highlight w:val="none"/>
                <w:lang w:bidi="ar"/>
              </w:rPr>
              <w:t xml:space="preserve">.压力等级1024M；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7.感应方式电磁式。</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台</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75</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超高频手持一体机</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1.传感器类型：顶部摄像头1300W像素；</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2.屏幕尺寸：6英寸；</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3.分辨率：1560*720；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4.聚焦模式：前置：定焦 后置：自动；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5.视频压缩标准：H.264；</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6.录像格式：3GP；</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7.图片分辨率：2M;5M;8M;13M；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8.图片格式：JPEG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9.音频采样率：8 kHz;16 kHz;44.1 kHz;48 kHz；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10.音频压缩标准：AAC;AAC+;AMR;AWB;VORBIS；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11.音频压缩码率：8K,16K,32kbps,64kbps,128kbps,256kbps；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12.Wi-Fi工作模式：AP;STATION；</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13.Wi-Fi频率范围：2.412-2.472 GHz;5.725-5.875 GHz;5.15-5.25 GHz；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14.定位：GPS;北斗;GLONASS；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15.蓝牙：5.2；</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16.CPU：八核2.4 Ghz；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17.操作系统：Android13.0；</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18.内存：4GB；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19.按键：1个电源键、2个扫描键、1个PTT按键、音量+/-按键、1个手柄按键；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20.防护等级：IP68；</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21.供电方式：电池供电；</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22.内置存储容量：64GB；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23.充电接口：Type-C；</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24.扬声器：支持；</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25.MIC：支持；</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26.SIM卡槽：2 个 Nano SIM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27.电池容量：5100mAh；</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28.电池类型：锂离子电池。</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76</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RFID标签读写器（发卡器）</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1.符合EPC C1 GEN2/ISO18000-6C协议标准，自如读写Monza4E，Monza4D，Monza4QT等标签类型；</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2.良好的防冲撞机制，可同时读取多个电子标签；</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3.电源及工作状态指示；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4.电源：5VDC，USB供电，最大电流500mA；</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5.工作频率：920~925MHz；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6.发射功率：10dBm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7.最远通讯距离：≤30cm@Impinj H47，与标签类型以及发射功率有关；</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8.通讯接口：USB线；</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9.工作指示灯：LED电源指示、LED状态指示灯及蜂鸣器；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10.支持协议：EPC C1 GEN2/ISO18000-6C。</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77</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可打印铜版纸标签</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1.工作频率：840~960Mhz；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2.工作协议：ISO/IEC 18000-6C EPCGlobal Class 1 Gen 2；</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3.标签尺寸：100*80 mm；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4.TID：96bits；EPC/User：128bits/0bits；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5.格拉辛底纸，铜版纸面材，带胶，不抗金属，可印刷；</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6.单位：卷（1000pcs）。</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卷</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sz w:val="18"/>
                <w:szCs w:val="18"/>
                <w:highlight w:val="none"/>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rHeight w:val="1218"/>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78</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柔性抗金属标签</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1.工作频率：902-928Mhz；</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2.协议：ISO 18000-6C；</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3.EPC：128bit；User memory：512bit；</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4.柔性抗金属标签，带背胶，可直接黏贴于金属设备表面；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5.可搭配RFID打印机使用，进行标签发卡的同时在标签表面进行二维码、文字、数字等信息印刷。</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个</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ascii="宋体" w:hAnsi="宋体" w:eastAsia="宋体"/>
                <w:sz w:val="18"/>
                <w:szCs w:val="18"/>
                <w:highlight w:val="none"/>
                <w:lang w:val="en-US" w:eastAsia="zh-CN"/>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00</w:t>
            </w:r>
            <w:r>
              <w:rPr>
                <w:rFonts w:ascii="宋体" w:hAnsi="宋体" w:eastAsia="宋体"/>
                <w:sz w:val="18"/>
                <w:szCs w:val="18"/>
                <w:highlight w:val="none"/>
                <w:lang w:val="en-US" w:eastAsia="zh-CN"/>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79</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硬质塑料标签</w:t>
            </w:r>
            <w:r>
              <w:rPr>
                <w:rFonts w:hint="eastAsia" w:ascii="宋体" w:hAnsi="宋体"/>
                <w:sz w:val="18"/>
                <w:szCs w:val="18"/>
                <w:highlight w:val="none"/>
              </w:rPr>
            </w:r>
            <w:r/>
          </w:p>
        </w:tc>
        <w:tc>
          <w:tcPr>
            <w:tcW w:w="4975" w:type="dxa"/>
            <w:vAlign w:val="center"/>
            <w:textDirection w:val="lrTb"/>
            <w:noWrap w:val="false"/>
          </w:tcPr>
          <w:p>
            <w:pPr>
              <w:pStyle w:val="664"/>
              <w:jc w:val="left"/>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1.无源920M频段，无需电池，最大使用寿命可达10年以上；</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2.标签可通过RFID发卡器写入EPC区数据；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3.硬质塑料外壳、带背胶，可直接粘贴于物体表面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表面印刷TID二维码与数字，方便现场通过扫码等方式二次确认。</w:t>
            </w:r>
            <w:r>
              <w:rPr>
                <w:rFonts w:hint="eastAsia" w:ascii="宋体" w:hAnsi="宋体"/>
                <w:sz w:val="18"/>
                <w:szCs w:val="18"/>
                <w:highlight w:val="none"/>
              </w:rPr>
            </w:r>
            <w:r/>
          </w:p>
        </w:tc>
        <w:tc>
          <w:tcPr>
            <w:tcW w:w="618" w:type="dxa"/>
            <w:vAlign w:val="center"/>
            <w:textDirection w:val="lrTb"/>
            <w:noWrap w:val="false"/>
          </w:tcPr>
          <w:p>
            <w:pPr>
              <w:pStyle w:val="664"/>
              <w:jc w:val="center"/>
              <w:widowControl/>
              <w:rPr>
                <w:rFonts w:hint="eastAsia" w:ascii="宋体" w:hAnsi="宋体"/>
                <w:sz w:val="18"/>
                <w:szCs w:val="18"/>
                <w:highlight w:val="none"/>
              </w:rPr>
            </w:pPr>
            <w:r>
              <w:rPr>
                <w:rFonts w:hint="eastAsia" w:ascii="宋体" w:hAnsi="宋体" w:cs="宋体"/>
                <w:color w:val="000000"/>
                <w:sz w:val="18"/>
                <w:szCs w:val="18"/>
                <w:highlight w:val="none"/>
                <w:lang w:bidi="ar"/>
              </w:rPr>
              <w:t xml:space="preserve">片</w:t>
            </w:r>
            <w:r>
              <w:rPr>
                <w:rFonts w:hint="eastAsia" w:ascii="宋体" w:hAnsi="宋体"/>
                <w:sz w:val="18"/>
                <w:szCs w:val="18"/>
                <w:highlight w:val="none"/>
              </w:rPr>
            </w:r>
            <w:r/>
          </w:p>
        </w:tc>
        <w:tc>
          <w:tcPr>
            <w:tcW w:w="735" w:type="dxa"/>
            <w:vAlign w:val="center"/>
            <w:textDirection w:val="lrTb"/>
            <w:noWrap w:val="false"/>
          </w:tcPr>
          <w:p>
            <w:pPr>
              <w:pStyle w:val="664"/>
              <w:jc w:val="center"/>
              <w:widowControl/>
              <w:rPr>
                <w:rFonts w:ascii="宋体" w:hAnsi="宋体" w:eastAsia="宋体"/>
                <w:sz w:val="18"/>
                <w:szCs w:val="18"/>
                <w:highlight w:val="none"/>
                <w:lang w:val="en-US" w:eastAsia="zh-CN"/>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00</w:t>
            </w:r>
            <w:r>
              <w:rPr>
                <w:rFonts w:ascii="宋体" w:hAnsi="宋体" w:eastAsia="宋体"/>
                <w:sz w:val="18"/>
                <w:szCs w:val="18"/>
                <w:highlight w:val="none"/>
                <w:lang w:val="en-US" w:eastAsia="zh-CN"/>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80</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防拆钉子标签</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900M物资管理使用RFID标签。</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ascii="宋体" w:hAnsi="宋体" w:eastAsia="宋体" w:cs="宋体"/>
                <w:color w:val="000000"/>
                <w:sz w:val="18"/>
                <w:szCs w:val="18"/>
                <w:highlight w:val="none"/>
                <w:lang w:val="en-US" w:eastAsia="zh-CN"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val="en-US" w:eastAsia="zh-CN" w:bidi="ar"/>
              </w:rPr>
              <w:t xml:space="preserve">00</w:t>
            </w:r>
            <w:r>
              <w:rPr>
                <w:rFonts w:ascii="宋体" w:hAnsi="宋体" w:eastAsia="宋体" w:cs="宋体"/>
                <w:color w:val="000000"/>
                <w:sz w:val="18"/>
                <w:szCs w:val="18"/>
                <w:highlight w:val="none"/>
                <w:lang w:val="en-US" w:eastAsia="zh-CN"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81</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RFID阅读器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1.符合EPC C1 GEN2/ISO18000-6C；</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2.具有载波消除功能，抗干扰能力更强；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3.支持EPC密集型读取模式（DRM）；</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4.支持640Kbps标签数据读取速率。</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82</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射频通道门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1.支持红外检测判断人员进出状态；</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2.符合EPC C1 GEN2/ISO18000-6C；</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3.支持标签的三维方向读取；</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4.可与门禁、监控系统联动管理；</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5.通道门和服务器之间通过以太网连接；</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6.根据现场空间灵活调整通道门主副通道门的间距；</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7.含天线阵列，根据现场读取情况灵活配置天线；</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8.集成UHF RFID读写器，实现RFID数据盘点；</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9.集成声光报警器，实现异常出库自动报警。</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83</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声光报警器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1.设备类型：声光警号（声光报警器）；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2.警灯颜色：红色；</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3.报警音量：105dB；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4.硬件接口：红/黑线；</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5.使用环境：室内/外（IP54室外防水）；</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6.外壳材质：PC+ABS；</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7.安装方式：壁挂。</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个</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84</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案件卷宗管理模块</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案卷工作台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1、支持查询案卷信息，查询条件包括案事件编号/案事件名称、承办单位、承办人/主办民警、案卷编号/案卷名称、案卷状态、案卷类型、案卷标签、涉案人员、案事件状态、保管单位；</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2、支持查看案卷信息，包括案事件编号、案事件名称、承办单位、承办人/主办民警、案卷编号、案卷名称、存放位置、案卷状态、RFID标签等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3、支持批量导入案卷信息，支持导出案卷信息清单；</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4、支持为案卷打印二维码标签，实现二维码与案卷绑定；</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5、支持为每个案卷绑定唯一的RFID标签，用于案卷盘点和异常出库检测；</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6、支持查看案卷详情，包括登记时的案事件信息、案卷信息、采集的案卷图片和资料信息；</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7、支持查看案卷流转记录，包括对案卷的登记、借阅、移交、归档，入库等过程的记录；</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8、支持流转记录查看关联的回执单和出入库操作的录像回放视频；</w:t>
            </w:r>
            <w:r>
              <w:rPr>
                <w:rFonts w:hint="eastAsia" w:ascii="宋体" w:hAnsi="宋体" w:cs="宋体"/>
                <w:color w:val="000000"/>
                <w:sz w:val="18"/>
                <w:szCs w:val="18"/>
                <w:highlight w:val="none"/>
                <w:lang w:bidi="ar"/>
              </w:rPr>
            </w:r>
            <w:r/>
          </w:p>
          <w:p>
            <w:pPr>
              <w:pStyle w:val="664"/>
              <w:numPr>
                <w:ilvl w:val="0"/>
                <w:numId w:val="4"/>
              </w:num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支持流转记录中存取的案卷进行导出；</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10、支持对待入库的案卷进行修改或删除；</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11、支持对在库案卷进行移库，选择案卷的存放位置；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12、支持对登记入库申请单打印和签名，支持电子签名和手印；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13、支持快捷进入案卷登记、入库、借阅、移交、归档和盘点页面；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14、支持在门户首页进行快捷操作，包括物品基本信息添加、入库、流转、审批、出库、待办事项提醒等；</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二、案卷登记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1、支持登记案卷信息，可关联案事件信息，登记案卷名称、案卷类型、案卷标签、立卷人、保管人等信息；支持对刑事、行政和事件案卷进行添加；</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2、支持绑定RFID标签；</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3、支持采集案卷图片和采集案卷资料；支持通过高拍仪采集照片；</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4、支持为案卷打印二维码标签；</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5、支持登记完成后进行入库；</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三、案卷入库</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1、支持查询待入库和归档的案卷信息，查询条件包括案事件编号/案事件名称、承办单位、承办人/主办民警、案卷编号/案卷名称、案卷类型、案卷状态、案卷标签和保管单位;</w:t>
            </w:r>
            <w:r>
              <w:rPr>
                <w:rFonts w:hint="eastAsia" w:ascii="宋体" w:hAnsi="宋体" w:cs="宋体"/>
                <w:color w:val="000000"/>
                <w:sz w:val="18"/>
                <w:szCs w:val="18"/>
                <w:highlight w:val="none"/>
                <w:lang w:bidi="ar"/>
              </w:rPr>
            </w:r>
            <w:r/>
          </w:p>
          <w:p>
            <w:pPr>
              <w:pStyle w:val="664"/>
              <w:numPr>
                <w:ilvl w:val="0"/>
                <w:numId w:val="5"/>
              </w:num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支持在平台端远程打开案卷智能柜，选择案卷的存放位置，将案卷入库;</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3、支持配置案卷存放位置，包括案卷智能柜、案卷普通柜和其他;</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4、支持为案卷打印二维码标签;</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四、案卷出库</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1、支持查询借阅案卷记录信息，查询条件包括申请人/借阅人/申请编号、申请人/借阅人所属单位、申请时间、出库时间、计划归还时间、案件编号名称、案卷编号名称,支持导出查询结果；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2、支持查询移交案卷记录信息，查询条件包括申请人/申请编号、申请人/接收人所属单位、申请时间、出库时间、归还/接收时间、案件编号名称、案卷编号名称，支持导出查询结果；</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3、支持新建借阅案卷申请，详细记录申请人信息、申请时间以及归还时间、借阅案卷清单等信息；</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4、支持新建移交案卷申请，详细记录申请人信息、接收人信息、申请时间、出库时间、归还/接收时间、移交案卷清单等信息；</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5、支持对借阅和移交的出库、归还申请单打印和签名，支持电子签名和撩手印；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6、支持对借阅、移交的案卷进行归还，支持对移交的案卷进行接收；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7、支持配置借阅和移交案卷是否需要审批，如配置需审批，则通过审批的才能进行案卷出库；</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8、支持门户待办事项提醒，对案卷借阅/移交的申请和出库待办事项，支持点击跳转至审批或出库页面；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五、案卷归档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1、支持查询待入库和在库的案卷信息，查询条件包括案事件编号/案事件名称、承办单位、承办人/主办民警、案卷编号/案卷名称、案卷类型、案卷状态、案卷标签和保管单位；</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2、支持将案卷归档，支持从案卷柜开柜取案卷，支持登记归档去向；</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案卷审批 </w:t>
            </w:r>
            <w:r>
              <w:rPr>
                <w:rFonts w:hint="eastAsia" w:ascii="宋体" w:hAnsi="宋体" w:cs="宋体"/>
                <w:color w:val="000000"/>
                <w:sz w:val="18"/>
                <w:szCs w:val="18"/>
                <w:highlight w:val="none"/>
                <w:lang w:bidi="ar"/>
              </w:rPr>
            </w:r>
            <w:r/>
          </w:p>
          <w:p>
            <w:pPr>
              <w:pStyle w:val="664"/>
              <w:numPr>
                <w:ilvl w:val="0"/>
                <w:numId w:val="6"/>
              </w:numPr>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支持审批借阅案卷或移交案卷申请信息；</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2、支持查询和查看所有待审批和已审批的借阅、移交案卷申请；</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案卷预警 </w:t>
            </w:r>
            <w:r>
              <w:rPr>
                <w:rFonts w:hint="eastAsia" w:ascii="宋体" w:hAnsi="宋体" w:cs="宋体"/>
                <w:color w:val="000000"/>
                <w:sz w:val="18"/>
                <w:szCs w:val="18"/>
                <w:highlight w:val="none"/>
                <w:lang w:bidi="ar"/>
              </w:rPr>
            </w:r>
            <w:r/>
          </w:p>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1、支持查询和查看案卷预警，查询条件包括主办民警、协办民警、预警类型、预警内容、预警时间、是否查收、是否超期和是否催办；</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2、支持对案卷超期未送卷、超期未归还、超期未归档、异常出库预警信息进行查收和催办，填写查收意见消除预警信息；</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3、支持查询和查看我的催办，可按照预警类型、是否超期和案卷类型对我的催办进行查询；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4、支持查询和查看催办记录，可按照预警类型、是否超期和是否查收对催办记录进行催办记录查询；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5、支持门户消息中心提醒，支持对案卷超期未送卷、超期未归还、超期未归档、异常出库预警消息提醒；</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6、支持配置案卷超期未送卷、超期未归档、超期提醒的时间天数；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六、案卷统计</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1、支持可视化展示所有配置的智能案卷柜，可视化显示案卷柜样式，包括案卷柜在线状态、案卷柜名称、柜格总数、在柜案卷数、格口标签名称；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2、支持展示每个柜格、柜格号、在柜案卷数、格口标签名称和在柜案卷信息，支持按照保管单位查看案卷保管柜并可查看保管柜详情；</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3、支持展示不同来源的案卷统计数据和案卷预警统计数据；</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4、支持案卷数据统计，支持根据保管单位查看案卷柜使用状态和查询行政、刑事案件；</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5、根据时间，查询案卷出入数量、案卷状态和部门民警案件数量，根据案件类型，查看各类案件和强制措施人员统计；</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6、支持查看在柜和在库案卷列表，并支持根据案卷编号、案卷名称和案卷类型查询；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七、案卷APP </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1、支持刷脸和刷卡认证人员身份；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2、支持存取卷管理，存卷时可对案卷进行添加、删除、查询；取卷时可按照案卷编号、名称、承办人、主办民警、承办部门进行查询；</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3、支持存取案卷并对有权限的柜格开柜，存卷时支持扫描案卷二维码快速选择存入，取卷时支持确认取出的案卷，</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4、支持展示人员配置的有权限的格口，并展示格口配置的标签名称。</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85</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案件卷宗盘点模块</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案卷盘点：</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1、支持创建案卷盘点任务，可对部分指定区域案卷进行盘点或全部区域案卷进行盘点；</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2、支持通过二维码方式读取盘点计划任务，并回传盘点结果至平台；</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3、支持手持机盘点APP执行盘点任务，并生成盘点结果；支持展示在库和未在库案卷信息。</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套</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86</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管理平台服务器</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 CPU：16核主频3.0GHz；配置2颗 C86架构HYGON 3350处理器，单处理器物理核心数≥8核，主频≥3.0 GHz，末级缓存容量≥16 MB，线程数≥16线程，支持内存的最高速率≥3200 MHz，通道数≥2，位宽≥64；</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2.内存：配置128G DDR4，8根内存插槽，最大可支持扩展至1TB；</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3.硬盘：配置480G SATA×2（RAID 1），4TB SATA 7.2K×2（RAID 1），前置最大可选支持12块3.5寸(兼容2.5寸)热插拔SATA/SAS硬盘；</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4.阵列卡：配置SAS_HBA卡（支持RAID 0/1/10）；</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5.PCIE扩展：最大支持4个标准PCIE插槽；</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6.网口：标配板载2个千兆电口，支持选配10GbE/25GbE SFP+等多种网络接口；</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7.其他接口：标配1个IPMI RJ-45管理接口，位于机箱后部；7个USB 3.0接口 4个位于机箱后部，2个位于机箱前部，1个位于机箱内部；2个VGA接口 1个位于机箱前部，1个位于机箱后部；</w:t>
            </w:r>
            <w:r>
              <w:rPr>
                <w:rFonts w:hint="eastAsia" w:ascii="宋体" w:hAnsi="宋体" w:cs="宋体"/>
                <w:color w:val="000000"/>
                <w:sz w:val="18"/>
                <w:szCs w:val="18"/>
                <w:highlight w:val="none"/>
                <w:lang w:bidi="ar"/>
              </w:rPr>
              <w:br w:type="textWrapping" w:clear="all"/>
            </w:r>
            <w:r>
              <w:rPr>
                <w:rFonts w:hint="eastAsia" w:ascii="宋体" w:hAnsi="宋体" w:cs="宋体"/>
                <w:color w:val="000000"/>
                <w:sz w:val="18"/>
                <w:szCs w:val="18"/>
                <w:highlight w:val="none"/>
                <w:lang w:bidi="ar"/>
              </w:rPr>
              <w:t xml:space="preserve">8.电源：配置550W（1+1）高效铂金CRPS冗余电源。</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台</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r>
        <w:trPr/>
        <w:tc>
          <w:tcPr>
            <w:tcW w:w="624" w:type="dxa"/>
            <w:vAlign w:val="center"/>
            <w:textDirection w:val="lrTb"/>
            <w:noWrap w:val="false"/>
          </w:tcPr>
          <w:p>
            <w:pPr>
              <w:pStyle w:val="664"/>
              <w:jc w:val="center"/>
              <w:widowControl/>
              <w:rPr>
                <w:rFonts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87</w:t>
            </w:r>
            <w:r>
              <w:rPr>
                <w:rFonts w:ascii="宋体" w:hAnsi="宋体" w:cs="宋体"/>
                <w:color w:val="000000"/>
                <w:sz w:val="18"/>
                <w:szCs w:val="18"/>
                <w:highlight w:val="none"/>
                <w:lang w:bidi="ar"/>
              </w:rPr>
            </w:r>
            <w:r/>
          </w:p>
        </w:tc>
        <w:tc>
          <w:tcPr>
            <w:tcW w:w="1254"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sz w:val="18"/>
                <w:szCs w:val="18"/>
                <w:highlight w:val="none"/>
                <w:lang w:bidi="ar"/>
              </w:rPr>
              <w:t xml:space="preserve">管线及辅材</w:t>
            </w:r>
            <w:r>
              <w:rPr>
                <w:rFonts w:hint="eastAsia" w:ascii="宋体" w:hAnsi="宋体" w:cs="宋体"/>
                <w:color w:val="000000"/>
                <w:sz w:val="18"/>
                <w:szCs w:val="18"/>
                <w:highlight w:val="none"/>
                <w:lang w:bidi="ar"/>
              </w:rPr>
            </w:r>
            <w:r/>
          </w:p>
        </w:tc>
        <w:tc>
          <w:tcPr>
            <w:tcW w:w="4975" w:type="dxa"/>
            <w:vAlign w:val="center"/>
            <w:textDirection w:val="lrTb"/>
            <w:noWrap w:val="false"/>
          </w:tcPr>
          <w:p>
            <w:pPr>
              <w:pStyle w:val="664"/>
              <w:jc w:val="left"/>
              <w:widowControl/>
              <w:rPr>
                <w:rFonts w:hint="eastAsia" w:ascii="宋体" w:hAnsi="宋体" w:cs="宋体"/>
                <w:color w:val="000000"/>
                <w:sz w:val="18"/>
                <w:szCs w:val="18"/>
                <w:highlight w:val="none"/>
                <w:lang w:bidi="ar"/>
              </w:rPr>
            </w:pPr>
            <w:r>
              <w:rPr>
                <w:rFonts w:hint="eastAsia" w:ascii="宋体" w:hAnsi="宋体" w:cs="宋体"/>
                <w:sz w:val="18"/>
                <w:szCs w:val="18"/>
                <w:highlight w:val="none"/>
                <w:lang w:bidi="ar"/>
              </w:rPr>
              <w:t xml:space="preserve">包含上述所有系统安装部署所需的管材、网线、音视频线、电源线等辅材。</w:t>
            </w:r>
            <w:r>
              <w:rPr>
                <w:rFonts w:hint="eastAsia" w:ascii="宋体" w:hAnsi="宋体" w:cs="宋体"/>
                <w:color w:val="000000"/>
                <w:sz w:val="18"/>
                <w:szCs w:val="18"/>
                <w:highlight w:val="none"/>
                <w:lang w:bidi="ar"/>
              </w:rPr>
            </w:r>
            <w:r/>
          </w:p>
        </w:tc>
        <w:tc>
          <w:tcPr>
            <w:tcW w:w="618"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sz w:val="18"/>
                <w:szCs w:val="18"/>
                <w:highlight w:val="none"/>
                <w:lang w:bidi="ar"/>
              </w:rPr>
              <w:t xml:space="preserve">项</w:t>
            </w:r>
            <w:r>
              <w:rPr>
                <w:rFonts w:hint="eastAsia" w:ascii="宋体" w:hAnsi="宋体" w:cs="宋体"/>
                <w:color w:val="000000"/>
                <w:sz w:val="18"/>
                <w:szCs w:val="18"/>
                <w:highlight w:val="none"/>
                <w:lang w:bidi="ar"/>
              </w:rPr>
            </w:r>
            <w:r/>
          </w:p>
        </w:tc>
        <w:tc>
          <w:tcPr>
            <w:tcW w:w="735" w:type="dxa"/>
            <w:vAlign w:val="center"/>
            <w:textDirection w:val="lrTb"/>
            <w:noWrap w:val="false"/>
          </w:tcPr>
          <w:p>
            <w:pPr>
              <w:pStyle w:val="664"/>
              <w:jc w:val="center"/>
              <w:widowControl/>
              <w:rPr>
                <w:rFonts w:hint="eastAsia" w:ascii="宋体" w:hAnsi="宋体" w:cs="宋体"/>
                <w:color w:val="000000"/>
                <w:sz w:val="18"/>
                <w:szCs w:val="18"/>
                <w:highlight w:val="none"/>
                <w:lang w:bidi="ar"/>
              </w:rPr>
            </w:pPr>
            <w:r>
              <w:rPr>
                <w:rFonts w:hint="eastAsia" w:ascii="宋体" w:hAnsi="宋体" w:cs="宋体"/>
                <w:sz w:val="18"/>
                <w:szCs w:val="18"/>
                <w:highlight w:val="none"/>
                <w:lang w:bidi="ar"/>
              </w:rPr>
              <w:t xml:space="preserve">1</w:t>
            </w:r>
            <w:r>
              <w:rPr>
                <w:rFonts w:hint="eastAsia" w:ascii="宋体" w:hAnsi="宋体" w:cs="宋体"/>
                <w:color w:val="000000"/>
                <w:sz w:val="18"/>
                <w:szCs w:val="18"/>
                <w:highlight w:val="none"/>
                <w:lang w:bidi="ar"/>
              </w:rPr>
            </w:r>
            <w:r/>
          </w:p>
        </w:tc>
        <w:tc>
          <w:tcPr>
            <w:tcW w:w="1612" w:type="dxa"/>
            <w:vAlign w:val="top"/>
            <w:textDirection w:val="lrTb"/>
            <w:noWrap w:val="false"/>
          </w:tcPr>
          <w:p>
            <w:pPr>
              <w:pStyle w:val="664"/>
              <w:spacing w:line="440" w:lineRule="exact"/>
              <w:rPr>
                <w:rFonts w:hint="eastAsia" w:ascii="宋体" w:hAnsi="宋体"/>
                <w:sz w:val="18"/>
                <w:szCs w:val="18"/>
                <w:highlight w:val="none"/>
              </w:rPr>
            </w:pPr>
            <w:r>
              <w:rPr>
                <w:rFonts w:hint="eastAsia" w:ascii="宋体" w:hAnsi="宋体"/>
                <w:sz w:val="18"/>
                <w:szCs w:val="18"/>
                <w:highlight w:val="none"/>
              </w:rPr>
            </w:r>
            <w:r/>
          </w:p>
        </w:tc>
      </w:tr>
    </w:tbl>
    <w:p>
      <w:pPr>
        <w:pStyle w:val="664"/>
        <w:ind w:firstLine="482"/>
        <w:spacing w:line="400" w:lineRule="exact"/>
        <w:rPr>
          <w:rFonts w:hint="eastAsia" w:eastAsia="宋体"/>
          <w:b/>
          <w:bCs/>
          <w:color w:val="ff0000"/>
          <w:sz w:val="24"/>
          <w:szCs w:val="24"/>
          <w:highlight w:val="none"/>
          <w:lang w:eastAsia="zh-CN"/>
        </w:rPr>
      </w:pPr>
      <w:r>
        <w:rPr>
          <w:rFonts w:hint="eastAsia"/>
          <w:b/>
          <w:bCs/>
          <w:color w:val="ff0000"/>
          <w:sz w:val="24"/>
          <w:szCs w:val="24"/>
          <w:highlight w:val="none"/>
        </w:rPr>
        <w:t xml:space="preserve">注：本项目采购清单中序号21大屏幕液晶显示屏属于政府强制采购</w:t>
      </w:r>
      <w:r>
        <w:rPr>
          <w:rFonts w:hint="eastAsia"/>
          <w:b/>
          <w:bCs/>
          <w:color w:val="ff0000"/>
          <w:sz w:val="24"/>
          <w:szCs w:val="24"/>
          <w:highlight w:val="none"/>
          <w:lang w:val="en-US" w:eastAsia="zh-CN"/>
        </w:rPr>
        <w:t xml:space="preserve">的节能</w:t>
      </w:r>
      <w:r>
        <w:rPr>
          <w:rFonts w:hint="eastAsia"/>
          <w:b/>
          <w:bCs/>
          <w:color w:val="ff0000"/>
          <w:sz w:val="24"/>
          <w:szCs w:val="24"/>
          <w:highlight w:val="none"/>
        </w:rPr>
        <w:t xml:space="preserve">产品，响应文件中</w:t>
      </w:r>
      <w:r>
        <w:rPr>
          <w:rFonts w:hint="eastAsia"/>
          <w:b/>
          <w:bCs/>
          <w:color w:val="ff0000"/>
          <w:sz w:val="24"/>
          <w:szCs w:val="24"/>
          <w:highlight w:val="none"/>
          <w:lang w:val="en-US" w:eastAsia="zh-CN"/>
        </w:rPr>
        <w:t xml:space="preserve">须</w:t>
      </w:r>
      <w:r>
        <w:rPr>
          <w:rFonts w:hint="eastAsia"/>
          <w:b/>
          <w:bCs/>
          <w:color w:val="ff0000"/>
          <w:sz w:val="24"/>
          <w:szCs w:val="24"/>
          <w:highlight w:val="none"/>
        </w:rPr>
        <w:t xml:space="preserve">提供国家市场监督管理局确定的列入“参与实施政府采购节能产品认证机构名录”内的认证机构出具的、有效期内的该产品的节能产品认证证书电子件</w:t>
      </w:r>
      <w:r>
        <w:rPr>
          <w:rFonts w:hint="eastAsia"/>
          <w:b/>
          <w:bCs/>
          <w:color w:val="ff0000"/>
          <w:sz w:val="24"/>
          <w:szCs w:val="24"/>
          <w:highlight w:val="none"/>
          <w:lang w:eastAsia="zh-CN"/>
        </w:rPr>
        <w:t xml:space="preserve">，</w:t>
      </w:r>
      <w:r>
        <w:rPr>
          <w:rFonts w:hint="eastAsia"/>
          <w:b/>
          <w:bCs/>
          <w:color w:val="ff0000"/>
          <w:sz w:val="24"/>
          <w:szCs w:val="24"/>
          <w:highlight w:val="none"/>
          <w:lang w:val="en-US" w:eastAsia="zh-CN"/>
        </w:rPr>
        <w:t xml:space="preserve">未提供的按无效标处理</w:t>
      </w:r>
      <w:r>
        <w:rPr>
          <w:rFonts w:hint="eastAsia"/>
          <w:b/>
          <w:bCs/>
          <w:color w:val="ff0000"/>
          <w:sz w:val="24"/>
          <w:szCs w:val="24"/>
          <w:highlight w:val="none"/>
        </w:rPr>
        <w:t xml:space="preserve">。</w:t>
      </w:r>
      <w:r>
        <w:rPr>
          <w:rFonts w:hint="eastAsia" w:eastAsia="宋体"/>
          <w:b/>
          <w:bCs/>
          <w:color w:val="ff0000"/>
          <w:sz w:val="24"/>
          <w:szCs w:val="24"/>
          <w:highlight w:val="none"/>
          <w:lang w:eastAsia="zh-CN"/>
        </w:rPr>
      </w:r>
      <w:r/>
    </w:p>
    <w:p>
      <w:pPr>
        <w:pStyle w:val="664"/>
        <w:ind w:firstLine="482"/>
        <w:spacing w:line="560" w:lineRule="exact"/>
        <w:rPr>
          <w:rFonts w:hint="eastAsia"/>
          <w:b/>
          <w:bCs/>
          <w:color w:val="000000"/>
          <w:sz w:val="24"/>
          <w:highlight w:val="none"/>
        </w:rPr>
        <w:outlineLvl w:val="2"/>
      </w:pPr>
      <w:r/>
      <w:bookmarkStart w:id="270" w:name="_Toc26565"/>
      <w:r>
        <w:rPr>
          <w:rFonts w:hint="eastAsia"/>
          <w:b/>
          <w:bCs/>
          <w:color w:val="000000"/>
          <w:sz w:val="24"/>
          <w:highlight w:val="none"/>
        </w:rPr>
        <w:t xml:space="preserve">五、服务要求</w:t>
      </w:r>
      <w:bookmarkEnd w:id="270"/>
      <w:r>
        <w:rPr>
          <w:rFonts w:hint="eastAsia"/>
          <w:b/>
          <w:bCs/>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1、所投产品须符合国家标准、行业标准，须在投标文件中标明所投产品具体品牌、型号、产地等。采购人在接收设备时如发现产品的品牌、型号与投标文件中不一致，或产品不符合相关国家、行业标准等情况，有权拒绝接收，并要求投标人在规定期限内无偿更换为与投标文件一致的，符合国家、行业标准的产品。投标人拒绝更换或在规定期限内不能更换到位的，采购人有权终止合同，并报请监管部门按相关规定予以处罚。</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2、招标文件所述技术要求，应视为保证设备正常运行所需的要求，如有遗漏，投标人应予以补充，否则一旦成交将视为投标人认同遗漏部分并免费提供。</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3、投标人所投产品的技术参数应优于或等于招标文件中技术参数，并提供相应的参数证明资料。</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4、本项目为交钥匙工程，项目包含软件开发、部署、功能实现、调试、验收相关的技术指导和售后服务、利润、保险、税金、以及所包含的风险、责任等所有费用均包含在报价内，采购人不再另行支付。</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5、投标人所投产品均应为原厂全新合格品。中标后三日内投标人须提供所投产品到采购人指定地点进行演示，以确保达到招投标文件的技术要求，如所供产品不符合投标文件对技术要求的承诺，采购人有权退回所供产品，因此产生的一切损失由投标人承担。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6、本次招标所涉及的所有产品采购人有权利对投标人所供产品进行现场测试，如不能满足招标要求，由投标人承担相关责任。</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7、如需与第三方系统进行对接，一切与相关对接费用包含在本项目预算金额内，采购人不再另行支付。</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本项目中相关软</w:t>
      </w:r>
      <w:r>
        <w:rPr>
          <w:rFonts w:hint="eastAsia"/>
          <w:color w:val="000000"/>
          <w:sz w:val="24"/>
          <w:highlight w:val="none"/>
          <w:lang w:val="en-US" w:eastAsia="zh-CN"/>
        </w:rPr>
        <w:t xml:space="preserve">硬</w:t>
      </w:r>
      <w:r>
        <w:rPr>
          <w:rFonts w:hint="eastAsia"/>
          <w:color w:val="000000"/>
          <w:sz w:val="24"/>
          <w:highlight w:val="none"/>
        </w:rPr>
        <w:t xml:space="preserve">件，中标后须按照使用单位要求完成：（1）支持预留接口与上</w:t>
      </w:r>
      <w:r>
        <w:rPr>
          <w:rFonts w:hint="eastAsia"/>
          <w:color w:val="000000"/>
          <w:sz w:val="24"/>
          <w:highlight w:val="none"/>
        </w:rPr>
        <w:t xml:space="preserve">级管理平台对接；（2）在要求时间内实现与</w:t>
      </w:r>
      <w:r>
        <w:rPr>
          <w:rFonts w:hint="eastAsia"/>
          <w:color w:val="000000"/>
          <w:sz w:val="24"/>
          <w:highlight w:val="none"/>
          <w:lang w:val="en-US" w:eastAsia="zh-CN"/>
        </w:rPr>
        <w:t xml:space="preserve">上下级检察系统</w:t>
      </w:r>
      <w:r>
        <w:rPr>
          <w:rFonts w:hint="eastAsia"/>
          <w:color w:val="000000"/>
          <w:sz w:val="24"/>
          <w:highlight w:val="none"/>
          <w:lang w:eastAsia="zh-CN"/>
        </w:rPr>
        <w:t xml:space="preserve">，</w:t>
      </w:r>
      <w:r>
        <w:rPr>
          <w:rFonts w:hint="eastAsia"/>
          <w:color w:val="000000"/>
          <w:sz w:val="24"/>
          <w:highlight w:val="none"/>
          <w:lang w:val="en-US" w:eastAsia="zh-CN"/>
        </w:rPr>
        <w:t xml:space="preserve">包括但不限于侦察指挥、网络听证、视频会议等系统</w:t>
      </w:r>
      <w:r>
        <w:rPr>
          <w:rFonts w:hint="eastAsia"/>
          <w:color w:val="000000"/>
          <w:sz w:val="24"/>
          <w:highlight w:val="none"/>
        </w:rPr>
        <w:t xml:space="preserve">互联互通无缝对接，相关费用包含在报价中。</w:t>
      </w:r>
      <w:r>
        <w:rPr>
          <w:rFonts w:hint="eastAsia"/>
          <w:color w:val="000000"/>
          <w:sz w:val="24"/>
          <w:highlight w:val="none"/>
        </w:rPr>
      </w:r>
      <w:r/>
    </w:p>
    <w:p>
      <w:pPr>
        <w:pStyle w:val="664"/>
        <w:ind w:firstLine="480"/>
        <w:spacing w:line="560" w:lineRule="exact"/>
        <w:rPr>
          <w:rFonts w:hint="eastAsia"/>
          <w:sz w:val="24"/>
          <w:highlight w:val="none"/>
        </w:rPr>
      </w:pPr>
      <w:r>
        <w:rPr>
          <w:rFonts w:hint="eastAsia"/>
          <w:sz w:val="24"/>
          <w:highlight w:val="none"/>
        </w:rPr>
        <w:t xml:space="preserve">8、项目实施前，中标供应商应按采购人要求出具设备点位平面布置图、系统图等。</w:t>
      </w:r>
      <w:r>
        <w:rPr>
          <w:rFonts w:hint="eastAsia"/>
          <w:sz w:val="24"/>
          <w:highlight w:val="none"/>
        </w:rPr>
      </w:r>
      <w:r/>
    </w:p>
    <w:p>
      <w:pPr>
        <w:pStyle w:val="664"/>
        <w:ind w:firstLine="480"/>
        <w:spacing w:line="560" w:lineRule="exact"/>
        <w:rPr>
          <w:sz w:val="24"/>
          <w:highlight w:val="none"/>
        </w:rPr>
      </w:pPr>
      <w:r>
        <w:rPr>
          <w:rFonts w:hint="eastAsia"/>
          <w:sz w:val="24"/>
          <w:highlight w:val="none"/>
        </w:rPr>
        <w:t xml:space="preserve">9、中标供应商需负责原有12309中心的搬迁工作，如12309呼叫中心、远程接访室，其中涉及重新部署时所需线材辅材等费用包含在报价中。</w:t>
      </w:r>
      <w:r>
        <w:rPr>
          <w:sz w:val="24"/>
          <w:highlight w:val="none"/>
        </w:rPr>
      </w:r>
      <w:r/>
    </w:p>
    <w:p>
      <w:pPr>
        <w:pStyle w:val="664"/>
        <w:ind w:firstLine="482"/>
        <w:spacing w:line="560" w:lineRule="exact"/>
        <w:rPr>
          <w:b/>
          <w:bCs/>
          <w:color w:val="000000"/>
          <w:sz w:val="24"/>
          <w:highlight w:val="none"/>
        </w:rPr>
        <w:outlineLvl w:val="2"/>
      </w:pPr>
      <w:r/>
      <w:bookmarkStart w:id="271" w:name="_Toc8995"/>
      <w:r>
        <w:rPr>
          <w:rFonts w:hint="eastAsia"/>
          <w:b/>
          <w:bCs/>
          <w:color w:val="000000"/>
          <w:sz w:val="24"/>
          <w:highlight w:val="none"/>
        </w:rPr>
        <w:t xml:space="preserve">六、商务要求</w:t>
      </w:r>
      <w:bookmarkEnd w:id="271"/>
      <w:r>
        <w:rPr>
          <w:b/>
          <w:bCs/>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1、售后服务要求</w:t>
      </w:r>
      <w:r>
        <w:rPr>
          <w:rFonts w:hint="eastAsia"/>
          <w:color w:val="000000"/>
          <w:sz w:val="24"/>
          <w:highlight w:val="none"/>
        </w:rPr>
      </w:r>
      <w:r/>
    </w:p>
    <w:p>
      <w:pPr>
        <w:pStyle w:val="664"/>
        <w:ind w:firstLine="480"/>
        <w:spacing w:line="560" w:lineRule="exact"/>
        <w:rPr>
          <w:color w:val="000000"/>
          <w:sz w:val="24"/>
          <w:highlight w:val="none"/>
        </w:rPr>
      </w:pPr>
      <w:r>
        <w:rPr>
          <w:rFonts w:hint="eastAsia"/>
          <w:color w:val="000000"/>
          <w:sz w:val="24"/>
          <w:highlight w:val="none"/>
        </w:rPr>
        <w:t xml:space="preserve">（1）</w:t>
      </w:r>
      <w:r>
        <w:rPr>
          <w:color w:val="000000"/>
          <w:sz w:val="24"/>
          <w:highlight w:val="none"/>
        </w:rPr>
        <w:t xml:space="preserve">验收合格之日起供应商对设</w:t>
      </w:r>
      <w:r>
        <w:rPr>
          <w:sz w:val="24"/>
          <w:highlight w:val="none"/>
        </w:rPr>
        <w:t xml:space="preserve">备免费</w:t>
      </w:r>
      <w:r>
        <w:rPr>
          <w:rFonts w:hint="eastAsia"/>
          <w:sz w:val="24"/>
          <w:highlight w:val="none"/>
        </w:rPr>
        <w:t xml:space="preserve">维保3</w:t>
      </w:r>
      <w:r>
        <w:rPr>
          <w:sz w:val="24"/>
          <w:highlight w:val="none"/>
        </w:rPr>
        <w:t xml:space="preserve">年。</w:t>
      </w:r>
      <w:r>
        <w:rPr>
          <w:rFonts w:hint="eastAsia"/>
          <w:sz w:val="24"/>
          <w:highlight w:val="none"/>
        </w:rPr>
        <w:t xml:space="preserve">维</w:t>
      </w:r>
      <w:r>
        <w:rPr>
          <w:rFonts w:hint="eastAsia"/>
          <w:color w:val="000000"/>
          <w:sz w:val="24"/>
          <w:highlight w:val="none"/>
        </w:rPr>
        <w:t xml:space="preserve">保</w:t>
      </w:r>
      <w:r>
        <w:rPr>
          <w:color w:val="000000"/>
          <w:sz w:val="24"/>
          <w:highlight w:val="none"/>
        </w:rPr>
        <w:t xml:space="preserve">期内，投标人对产品质量实行三包，因设备配置或制造质量问题而引起的故障，投标人应在24小时内立即予以免费维修或更换，由此引起的一切费用由投标人承担。</w:t>
      </w:r>
      <w:r>
        <w:rPr>
          <w:color w:val="000000"/>
          <w:sz w:val="24"/>
          <w:highlight w:val="none"/>
        </w:rPr>
      </w:r>
      <w:r/>
    </w:p>
    <w:p>
      <w:pPr>
        <w:pStyle w:val="664"/>
        <w:ind w:firstLine="480"/>
        <w:spacing w:line="560" w:lineRule="exact"/>
        <w:rPr>
          <w:color w:val="000000"/>
          <w:sz w:val="24"/>
          <w:highlight w:val="none"/>
        </w:rPr>
      </w:pPr>
      <w:r>
        <w:rPr>
          <w:rFonts w:hint="eastAsia"/>
          <w:color w:val="000000"/>
          <w:sz w:val="24"/>
          <w:highlight w:val="none"/>
        </w:rPr>
        <w:t xml:space="preserve">（2）定制软件开发，需要提供软件代码，投标人同意将开发的软件源码提供给采购人使用。采购人有权在合同约定的范围内使用、修改和分发该源码。投标人有义务将维保工作做好，并做好无条件交接。</w:t>
      </w:r>
      <w:r>
        <w:rPr>
          <w:color w:val="000000"/>
          <w:sz w:val="24"/>
          <w:highlight w:val="none"/>
        </w:rPr>
      </w:r>
      <w:r/>
    </w:p>
    <w:p>
      <w:pPr>
        <w:pStyle w:val="664"/>
        <w:ind w:firstLine="480"/>
        <w:spacing w:line="560" w:lineRule="exact"/>
        <w:rPr>
          <w:color w:val="000000"/>
          <w:sz w:val="24"/>
          <w:highlight w:val="none"/>
        </w:rPr>
      </w:pPr>
      <w:r>
        <w:rPr>
          <w:rFonts w:hint="eastAsia"/>
          <w:color w:val="000000"/>
          <w:sz w:val="24"/>
          <w:highlight w:val="none"/>
        </w:rPr>
        <w:t xml:space="preserve">（3）</w:t>
      </w:r>
      <w:r>
        <w:rPr>
          <w:color w:val="000000"/>
          <w:sz w:val="24"/>
          <w:highlight w:val="none"/>
        </w:rPr>
        <w:t xml:space="preserve">技术支持响应时间。一般问题2小时内电话支持，难点、重点问题1天内现场解决，</w:t>
      </w:r>
      <w:r>
        <w:rPr>
          <w:rFonts w:hint="eastAsia"/>
          <w:color w:val="000000"/>
          <w:sz w:val="24"/>
          <w:highlight w:val="none"/>
        </w:rPr>
        <w:t xml:space="preserve">维保</w:t>
      </w:r>
      <w:r>
        <w:rPr>
          <w:color w:val="000000"/>
          <w:sz w:val="24"/>
          <w:highlight w:val="none"/>
        </w:rPr>
        <w:t xml:space="preserve">期内相关费用由投标人承担，</w:t>
      </w:r>
      <w:r>
        <w:rPr>
          <w:rFonts w:hint="eastAsia"/>
          <w:color w:val="000000"/>
          <w:sz w:val="24"/>
          <w:highlight w:val="none"/>
        </w:rPr>
        <w:t xml:space="preserve">维保</w:t>
      </w:r>
      <w:r>
        <w:rPr>
          <w:color w:val="000000"/>
          <w:sz w:val="24"/>
          <w:highlight w:val="none"/>
        </w:rPr>
        <w:t xml:space="preserve">期满后投标人收取成本费。</w:t>
      </w:r>
      <w:r>
        <w:rPr>
          <w:color w:val="000000"/>
          <w:sz w:val="24"/>
          <w:highlight w:val="none"/>
        </w:rPr>
      </w:r>
      <w:r/>
    </w:p>
    <w:p>
      <w:pPr>
        <w:pStyle w:val="664"/>
        <w:ind w:firstLine="480"/>
        <w:spacing w:line="560" w:lineRule="exact"/>
        <w:rPr>
          <w:color w:val="000000"/>
          <w:sz w:val="24"/>
          <w:highlight w:val="none"/>
        </w:rPr>
      </w:pPr>
      <w:r>
        <w:rPr>
          <w:rFonts w:hint="eastAsia"/>
          <w:color w:val="000000"/>
          <w:sz w:val="24"/>
          <w:highlight w:val="none"/>
        </w:rPr>
        <w:t xml:space="preserve">（4）产品到货后投标人根据甲方需求安排专职工程师上门安装、调试，同时集中进行培训，内容包括使用、日常维护及现场操作，保证能够正常使用。</w:t>
      </w:r>
      <w:r>
        <w:rPr>
          <w:color w:val="000000"/>
          <w:sz w:val="24"/>
          <w:highlight w:val="none"/>
        </w:rPr>
      </w:r>
      <w:r/>
    </w:p>
    <w:p>
      <w:pPr>
        <w:pStyle w:val="664"/>
        <w:ind w:firstLine="480"/>
        <w:spacing w:line="560" w:lineRule="exact"/>
        <w:rPr>
          <w:color w:val="000000"/>
          <w:sz w:val="24"/>
          <w:highlight w:val="none"/>
        </w:rPr>
      </w:pPr>
      <w:r>
        <w:rPr>
          <w:rFonts w:hint="eastAsia"/>
          <w:color w:val="000000"/>
          <w:sz w:val="24"/>
          <w:highlight w:val="none"/>
        </w:rPr>
        <w:t xml:space="preserve">（5）</w:t>
      </w:r>
      <w:r>
        <w:rPr>
          <w:color w:val="000000"/>
          <w:sz w:val="24"/>
          <w:highlight w:val="none"/>
        </w:rPr>
        <w:t xml:space="preserve">投标人未在上述规定时间内履行</w:t>
      </w:r>
      <w:r>
        <w:rPr>
          <w:rFonts w:hint="eastAsia"/>
          <w:color w:val="000000"/>
          <w:sz w:val="24"/>
          <w:highlight w:val="none"/>
        </w:rPr>
        <w:t xml:space="preserve">维保</w:t>
      </w:r>
      <w:r>
        <w:rPr>
          <w:color w:val="000000"/>
          <w:sz w:val="24"/>
          <w:highlight w:val="none"/>
        </w:rPr>
        <w:t xml:space="preserve">义务的，</w:t>
      </w:r>
      <w:r>
        <w:rPr>
          <w:rFonts w:hint="eastAsia"/>
          <w:color w:val="000000"/>
          <w:sz w:val="24"/>
          <w:highlight w:val="none"/>
        </w:rPr>
        <w:t xml:space="preserve">采购人</w:t>
      </w:r>
      <w:r>
        <w:rPr>
          <w:color w:val="000000"/>
          <w:sz w:val="24"/>
          <w:highlight w:val="none"/>
        </w:rPr>
        <w:t xml:space="preserve">可委托第三方代为处理，由此产生的费用及损失均由投标人承担，每出现一次，由投标人向</w:t>
      </w:r>
      <w:r>
        <w:rPr>
          <w:rFonts w:hint="eastAsia"/>
          <w:color w:val="000000"/>
          <w:sz w:val="24"/>
          <w:highlight w:val="none"/>
        </w:rPr>
        <w:t xml:space="preserve">采购人</w:t>
      </w:r>
      <w:r>
        <w:rPr>
          <w:color w:val="000000"/>
          <w:sz w:val="24"/>
          <w:highlight w:val="none"/>
        </w:rPr>
        <w:t xml:space="preserve">支付合同总额2%违约金（可在应付款项中扣除）。</w:t>
      </w:r>
      <w:r>
        <w:rPr>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2、质量要求</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投标人提供的产品必须为原装正品，严禁帖牌、伪造，应为全新未使用的产品，性能及质量有国家标准的应符合国家标准。无国家标准的应符合行业标准或企业标准，并满足招标文件要求，实现投标文件承诺条款，符合招标文件要求。</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3、验收要求</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1）在设备进场并安装调试后，采购人根据技术要求组织验收，验收内容包括：型号、规格、数量、外观质量、及货物包装是否完好，安装调试是否合格，所提供设备的装箱清单、用户手册、原厂保修卡、随机资料及配件、随机工具等是否齐全。设备最终验收后，投标人应对由于设计、工艺或材料的缺陷而发生的任何不足或故障负责，并承担由此引起的一切后果。</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（2）采购人组建验收小组，验收小组由三人以上组成，按采购合同约定的时间组织验收，并出具验收报告。</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（2）采购人在验收中，如发现有与合同规定不符的，应向投标人提出书面意见，不签发验收单。投标人在接到采购人书面意见后，应在2天内予以处理，并将处理结果以书面形式告知采购人。</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（4）不能通过验收的，将按照退货处理，投标人应在采购人限定时间内予以更换符合要求的设备。</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4、项目实施方案</w:t>
      </w:r>
      <w:r>
        <w:rPr>
          <w:rFonts w:hint="eastAsia"/>
          <w:color w:val="000000"/>
          <w:sz w:val="24"/>
          <w:highlight w:val="none"/>
        </w:rPr>
      </w:r>
      <w:r/>
    </w:p>
    <w:p>
      <w:pPr>
        <w:pStyle w:val="664"/>
        <w:ind w:firstLine="482"/>
        <w:spacing w:line="560" w:lineRule="exact"/>
        <w:rPr>
          <w:color w:val="000000"/>
          <w:sz w:val="24"/>
          <w:highlight w:val="none"/>
        </w:rPr>
      </w:pPr>
      <w:r>
        <w:rPr>
          <w:rFonts w:hint="eastAsia"/>
          <w:color w:val="000000"/>
          <w:sz w:val="24"/>
          <w:highlight w:val="none"/>
        </w:rPr>
        <w:t xml:space="preserve">（1）项目实施方案应</w:t>
      </w:r>
      <w:r>
        <w:rPr>
          <w:color w:val="000000"/>
          <w:sz w:val="24"/>
          <w:highlight w:val="none"/>
        </w:rPr>
        <w:t xml:space="preserve">包括但不限于实施方案、人员组成、质量保证、工期管理、风险预防、控制措施突发事件处置方案及验收方案等。</w:t>
      </w:r>
      <w:r>
        <w:rPr>
          <w:color w:val="000000"/>
          <w:sz w:val="24"/>
          <w:highlight w:val="none"/>
        </w:rPr>
      </w:r>
      <w:r/>
    </w:p>
    <w:p>
      <w:pPr>
        <w:pStyle w:val="664"/>
        <w:ind w:firstLine="482"/>
        <w:spacing w:line="560" w:lineRule="exact"/>
        <w:rPr>
          <w:color w:val="000000"/>
          <w:sz w:val="24"/>
          <w:highlight w:val="none"/>
        </w:rPr>
      </w:pPr>
      <w:r>
        <w:rPr>
          <w:color w:val="000000"/>
          <w:sz w:val="24"/>
          <w:highlight w:val="none"/>
        </w:rPr>
        <w:t xml:space="preserve">（2）中标人应将所供货物运送到采购人指定地点，并为使用单位提供安装及调试服务，以保证产品正常投入使用。</w:t>
      </w:r>
      <w:r>
        <w:rPr>
          <w:color w:val="000000"/>
          <w:sz w:val="24"/>
          <w:highlight w:val="none"/>
        </w:rPr>
      </w:r>
      <w:r/>
    </w:p>
    <w:p>
      <w:pPr>
        <w:pStyle w:val="664"/>
        <w:ind w:firstLine="482"/>
        <w:spacing w:line="560" w:lineRule="exact"/>
        <w:rPr>
          <w:color w:val="000000"/>
          <w:sz w:val="24"/>
          <w:highlight w:val="none"/>
        </w:rPr>
      </w:pPr>
      <w:r>
        <w:rPr>
          <w:color w:val="000000"/>
          <w:sz w:val="24"/>
          <w:highlight w:val="none"/>
        </w:rPr>
        <w:t xml:space="preserve">（3）安全及环境保护要求：加强安全管理，对现场安全负完全责任；负责送货、安装、调试现场安全管理、环境保护管理，项目实施过程中产生的包装等废弃垃圾搬运至</w:t>
      </w:r>
      <w:r>
        <w:rPr>
          <w:rFonts w:hint="eastAsia"/>
          <w:color w:val="000000"/>
          <w:sz w:val="24"/>
          <w:highlight w:val="none"/>
        </w:rPr>
        <w:t xml:space="preserve">采购人</w:t>
      </w:r>
      <w:r>
        <w:rPr>
          <w:color w:val="000000"/>
          <w:sz w:val="24"/>
          <w:highlight w:val="none"/>
        </w:rPr>
        <w:t xml:space="preserve">指定地点并清扫现场。</w:t>
      </w:r>
      <w:r>
        <w:rPr>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5、培训要求</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1）投标人须派有设备操作、管理、维护经验的工程师，对采购人的人员进行优质的培训服务。对设备的使用、操作、维护、故障排除等进行免费培训，并提供安装使用维护说明书，以确保采购人能够对设备有足够的了解，能够独立进行日常操作、管理和维护。</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（2）投标人至少提供2次培训服务，每次不少于8小时，培训地点由采购人指定，包括但不限于使用单位内。投标人须为所有被培训人员提供培训用文字资料和讲义等相关用品。所有的资料必须是中文书写。</w:t>
      </w:r>
      <w:r>
        <w:rPr>
          <w:rFonts w:hint="eastAsia"/>
          <w:color w:val="000000"/>
          <w:sz w:val="24"/>
          <w:highlight w:val="none"/>
        </w:rPr>
      </w:r>
      <w:r/>
    </w:p>
    <w:p>
      <w:pPr>
        <w:pStyle w:val="664"/>
        <w:ind w:firstLine="482"/>
        <w:spacing w:line="560" w:lineRule="exact"/>
        <w:rPr>
          <w:rFonts w:hint="eastAsia"/>
          <w:color w:val="000000"/>
          <w:sz w:val="24"/>
          <w:highlight w:val="none"/>
        </w:rPr>
      </w:pPr>
      <w:r>
        <w:rPr>
          <w:rFonts w:hint="eastAsia"/>
          <w:color w:val="000000"/>
          <w:sz w:val="24"/>
          <w:highlight w:val="none"/>
        </w:rPr>
        <w:t xml:space="preserve">所有的培训费用包括差旅、食宿、教材、资料费用等由投标人负责，均计入投标报价中。</w:t>
      </w:r>
      <w:r>
        <w:rPr>
          <w:rFonts w:hint="eastAsia"/>
          <w:color w:val="000000"/>
          <w:sz w:val="24"/>
          <w:highlight w:val="none"/>
        </w:rPr>
      </w:r>
      <w:r/>
    </w:p>
    <w:p>
      <w:pPr>
        <w:pStyle w:val="664"/>
        <w:numPr>
          <w:ilvl w:val="0"/>
          <w:numId w:val="7"/>
        </w:numPr>
        <w:ind w:firstLine="482"/>
        <w:spacing w:line="560" w:lineRule="exact"/>
        <w:rPr>
          <w:rFonts w:hint="eastAsia"/>
          <w:color w:val="000000"/>
          <w:sz w:val="24"/>
          <w:highlight w:val="none"/>
        </w:rPr>
      </w:pPr>
      <w:r>
        <w:rPr>
          <w:rFonts w:hint="eastAsia"/>
          <w:color w:val="000000"/>
          <w:sz w:val="24"/>
          <w:highlight w:val="none"/>
        </w:rPr>
        <w:t xml:space="preserve">培训方案应包含但不限于周全的培训内容、培训时间、培训地点、培训目标、培训人数、培训方法和培训师资等。</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6、安全责任措施</w:t>
      </w:r>
      <w:r>
        <w:rPr>
          <w:rFonts w:hint="eastAsia"/>
          <w:color w:val="000000"/>
          <w:sz w:val="24"/>
          <w:highlight w:val="none"/>
        </w:rPr>
      </w:r>
      <w:r/>
    </w:p>
    <w:p>
      <w:pPr>
        <w:pStyle w:val="664"/>
        <w:ind w:firstLine="480"/>
        <w:spacing w:line="560" w:lineRule="exact"/>
        <w:rPr>
          <w:rFonts w:hint="eastAsia"/>
          <w:color w:val="000000"/>
          <w:sz w:val="24"/>
          <w:highlight w:val="none"/>
        </w:rPr>
      </w:pPr>
      <w:r>
        <w:rPr>
          <w:color w:val="000000"/>
          <w:sz w:val="24"/>
          <w:highlight w:val="none"/>
        </w:rPr>
        <w:t xml:space="preserve">安全责任制度完善，明确各岗位安全职责，安全风险识别全面，针对各环节有详细、有效的安全防护措施，安全培训计划系统且落实到位，应急救援预案完备且定期演练</w:t>
      </w:r>
      <w:r>
        <w:rPr>
          <w:rFonts w:hint="eastAsia"/>
          <w:color w:val="000000"/>
          <w:sz w:val="24"/>
          <w:highlight w:val="none"/>
        </w:rPr>
        <w:t xml:space="preserve">。</w:t>
      </w:r>
      <w:r>
        <w:rPr>
          <w:rFonts w:hint="eastAsia"/>
          <w:color w:val="000000"/>
          <w:sz w:val="24"/>
          <w:highlight w:val="none"/>
        </w:rPr>
      </w:r>
      <w:r/>
    </w:p>
    <w:p>
      <w:pPr>
        <w:pStyle w:val="664"/>
        <w:numPr>
          <w:ilvl w:val="0"/>
          <w:numId w:val="8"/>
        </w:numPr>
        <w:ind w:firstLine="480"/>
        <w:spacing w:line="560" w:lineRule="exact"/>
        <w:rPr>
          <w:rFonts w:hint="eastAsia"/>
          <w:color w:val="000000"/>
          <w:sz w:val="24"/>
          <w:highlight w:val="none"/>
        </w:rPr>
      </w:pPr>
      <w:r>
        <w:rPr>
          <w:rFonts w:hint="eastAsia"/>
          <w:color w:val="000000"/>
          <w:sz w:val="24"/>
          <w:highlight w:val="none"/>
        </w:rPr>
        <w:t xml:space="preserve">需求理解分析</w:t>
      </w:r>
      <w:r>
        <w:rPr>
          <w:rFonts w:hint="eastAsia"/>
          <w:color w:val="000000"/>
          <w:sz w:val="24"/>
          <w:highlight w:val="none"/>
        </w:rPr>
      </w:r>
      <w:r/>
    </w:p>
    <w:p>
      <w:pPr>
        <w:pStyle w:val="664"/>
        <w:ind w:firstLine="480"/>
        <w:spacing w:line="560" w:lineRule="exact"/>
        <w:rPr>
          <w:color w:val="000000"/>
          <w:sz w:val="24"/>
          <w:highlight w:val="none"/>
        </w:rPr>
      </w:pPr>
      <w:r>
        <w:rPr>
          <w:rFonts w:hint="eastAsia"/>
          <w:color w:val="000000"/>
          <w:sz w:val="24"/>
          <w:highlight w:val="none"/>
        </w:rPr>
        <w:t xml:space="preserve">结合本项目实际情况，对宿迁市人民检察院“两个中心”智能化补充项目的项目概况、需求、现状及重难点问题进行分析，提出具有针对性的技术方案，要求结构清晰，描述准确、全面、完整，科学合理有针对性。</w:t>
      </w:r>
      <w:r>
        <w:rPr>
          <w:color w:val="000000"/>
          <w:sz w:val="24"/>
          <w:highlight w:val="none"/>
        </w:rPr>
      </w:r>
      <w:r/>
    </w:p>
    <w:p>
      <w:pPr>
        <w:pStyle w:val="664"/>
        <w:ind w:firstLine="480"/>
        <w:spacing w:line="560" w:lineRule="exact"/>
        <w:rPr>
          <w:rFonts w:hint="eastAsia"/>
          <w:b/>
          <w:bCs/>
          <w:color w:val="000000"/>
          <w:sz w:val="24"/>
          <w:highlight w:val="none"/>
        </w:rPr>
        <w:outlineLvl w:val="2"/>
      </w:pPr>
      <w:r/>
      <w:bookmarkStart w:id="272" w:name="_Toc6072"/>
      <w:r>
        <w:rPr>
          <w:rFonts w:hint="eastAsia"/>
          <w:b/>
          <w:bCs/>
          <w:color w:val="000000"/>
          <w:sz w:val="24"/>
          <w:highlight w:val="none"/>
        </w:rPr>
        <w:t xml:space="preserve">七、商品包装环保要求</w:t>
      </w:r>
      <w:bookmarkEnd w:id="272"/>
      <w:r>
        <w:rPr>
          <w:rFonts w:hint="eastAsia"/>
          <w:b/>
          <w:bCs/>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1、商品包装层数不得超过 3 层，空隙率不大于40%；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2、商品包装尽可能使用单一材质的包装材料，如因功能需求必需使用不同材质，不同材质间应便于分离；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3、商品包装中铅、汞、镉、六价铬的总含量应不大于100mg/kg；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4、商品包装印刷使用的油墨中挥发性有机化合物(VOCs) 含量应不大于 5%（以重量计）；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5、塑料材质商品包装上呈现的印刷颜色不得超过 6 色；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6、纸质商品包装应使用75%以上的可再生纤维原料生产；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7、木质商品包装的原料应来源于可持续性森林。 </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rPr>
          <w:rFonts w:hint="eastAsia"/>
          <w:color w:val="000000"/>
          <w:sz w:val="24"/>
          <w:highlight w:val="none"/>
        </w:rPr>
      </w:r>
      <w:r/>
    </w:p>
    <w:p>
      <w:pPr>
        <w:pStyle w:val="664"/>
        <w:ind w:firstLine="480"/>
        <w:spacing w:line="560" w:lineRule="exact"/>
        <w:rPr>
          <w:rFonts w:hint="eastAsia"/>
          <w:b/>
          <w:bCs/>
          <w:color w:val="000000"/>
          <w:sz w:val="24"/>
          <w:highlight w:val="none"/>
        </w:rPr>
        <w:outlineLvl w:val="2"/>
      </w:pPr>
      <w:r/>
      <w:bookmarkStart w:id="273" w:name="_Toc10846"/>
      <w:r>
        <w:rPr>
          <w:rFonts w:hint="eastAsia"/>
          <w:b/>
          <w:bCs/>
          <w:color w:val="000000"/>
          <w:sz w:val="24"/>
          <w:highlight w:val="none"/>
        </w:rPr>
        <w:t xml:space="preserve">八、快递包装环保要求</w:t>
      </w:r>
      <w:bookmarkEnd w:id="273"/>
      <w:r>
        <w:rPr>
          <w:rFonts w:hint="eastAsia"/>
          <w:b/>
          <w:bCs/>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1、快递包装中重金属（铅、汞、镉、六价铬）总量应不大于100mg/kg；</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2、快递包装印刷使用的油墨中不应添加邻苯二甲酸酯，其挥发性有机化合物(VOCs)含量应不大于5%（以重量计）；</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3、快递包装中使用纸基材的包装材料，纸基材中的有机氯的含量应不大于150 mg/kg；</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5、快递中使用的塑料包装袋不得使用聚氯乙烯作为原料，且原料应为单一材质制成，生物分解率大于60%；</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6、快递中使用的充气类填充物不得使用聚氯乙烯作为原料，且原料为单一材质制成，生物分解率大于60%；</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7、快递中使用的集装袋应为单一材质制成，其重复使用次数应不小于80 次；</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8、快递中应使用幅宽不大于45mm 的生物降解胶带；</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9、快递包装中不得使用溶剂型胶粘剂；</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10、快递应使用电子面单；</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11、直接使用商品包装作为快递包装的商品，其商品包装满足《商品包装政府采购需求标准（试行）》即可；</w:t>
      </w:r>
      <w:r>
        <w:rPr>
          <w:rFonts w:hint="eastAsia"/>
          <w:color w:val="000000"/>
          <w:sz w:val="24"/>
          <w:highlight w:val="none"/>
        </w:rPr>
      </w:r>
      <w:r/>
    </w:p>
    <w:p>
      <w:pPr>
        <w:pStyle w:val="664"/>
        <w:ind w:firstLine="480"/>
        <w:spacing w:line="560" w:lineRule="exact"/>
        <w:rPr>
          <w:rFonts w:hint="eastAsia"/>
          <w:color w:val="000000"/>
          <w:sz w:val="24"/>
          <w:highlight w:val="none"/>
        </w:rPr>
      </w:pPr>
      <w:r>
        <w:rPr>
          <w:rFonts w:hint="eastAsia"/>
          <w:color w:val="000000"/>
          <w:sz w:val="24"/>
          <w:highlight w:val="none"/>
        </w:rPr>
        <w:t xml:space="preserve">12、快递包装产品质量和封装方式应符合相关国家或行业标准技术指标要求。</w:t>
      </w:r>
      <w:r>
        <w:rPr>
          <w:rFonts w:hint="eastAsia"/>
          <w:color w:val="000000"/>
          <w:sz w:val="24"/>
          <w:highlight w:val="none"/>
        </w:rPr>
      </w:r>
      <w:r/>
    </w:p>
    <w:p>
      <w:pPr>
        <w:pStyle w:val="664"/>
        <w:ind w:firstLine="480"/>
        <w:spacing w:line="560" w:lineRule="exact"/>
        <w:rPr>
          <w:rFonts w:hint="eastAsia" w:eastAsia="黑体"/>
          <w:bCs/>
          <w:sz w:val="44"/>
          <w:szCs w:val="28"/>
          <w:highlight w:val="none"/>
        </w:rPr>
      </w:pPr>
      <w:r>
        <w:rPr>
          <w:rFonts w:hint="eastAsia"/>
          <w:color w:val="000000"/>
          <w:sz w:val="24"/>
          <w:highlight w:val="none"/>
        </w:rPr>
        <w:br w:type="page" w:clear="all"/>
      </w:r>
      <w:bookmarkStart w:id="274" w:name="_Toc30706"/>
      <w:r/>
      <w:bookmarkStart w:id="275" w:name="_Toc29272"/>
      <w:r>
        <w:rPr>
          <w:rFonts w:hint="eastAsia" w:eastAsia="黑体"/>
          <w:bCs/>
          <w:sz w:val="44"/>
          <w:szCs w:val="28"/>
          <w:highlight w:val="none"/>
        </w:rPr>
      </w:r>
      <w:r/>
    </w:p>
    <w:p>
      <w:pPr>
        <w:pStyle w:val="665"/>
        <w:rPr>
          <w:rFonts w:hint="eastAsia" w:ascii="Times New Roman" w:eastAsia="黑体"/>
          <w:bCs/>
          <w:sz w:val="44"/>
          <w:highlight w:val="none"/>
        </w:rPr>
      </w:pPr>
      <w:r/>
      <w:bookmarkStart w:id="276" w:name="_Toc13294"/>
      <w:r>
        <w:rPr>
          <w:rFonts w:hint="eastAsia" w:ascii="Times New Roman" w:eastAsia="黑体"/>
          <w:bCs/>
          <w:sz w:val="44"/>
          <w:highlight w:val="none"/>
        </w:rPr>
        <w:t xml:space="preserve">第五章  </w:t>
      </w:r>
      <w:r>
        <w:rPr>
          <w:rFonts w:hint="eastAsia" w:ascii="Times New Roman" w:eastAsia="黑体"/>
          <w:b/>
          <w:bCs/>
          <w:sz w:val="44"/>
          <w:highlight w:val="none"/>
        </w:rPr>
        <w:t xml:space="preserve">评标方法与评标标准</w:t>
      </w:r>
      <w:bookmarkEnd w:id="274"/>
      <w:r/>
      <w:bookmarkEnd w:id="275"/>
      <w:r/>
      <w:bookmarkEnd w:id="276"/>
      <w:r>
        <w:rPr>
          <w:rFonts w:hint="eastAsia" w:ascii="Times New Roman" w:eastAsia="黑体"/>
          <w:bCs/>
          <w:sz w:val="44"/>
          <w:highlight w:val="none"/>
        </w:rPr>
      </w:r>
      <w:r/>
    </w:p>
    <w:p>
      <w:pPr>
        <w:pStyle w:val="664"/>
        <w:spacing w:line="500" w:lineRule="exact"/>
        <w:rPr>
          <w:rFonts w:hint="eastAsia" w:eastAsia="仿宋_GB2312"/>
          <w:sz w:val="24"/>
          <w:highlight w:val="none"/>
        </w:rPr>
        <w:outlineLvl w:val="2"/>
      </w:pPr>
      <w:r/>
      <w:bookmarkStart w:id="277" w:name="_Toc23209"/>
      <w:r>
        <w:rPr>
          <w:rFonts w:hint="eastAsia" w:eastAsia="仿宋_GB2312"/>
          <w:b/>
          <w:sz w:val="28"/>
          <w:szCs w:val="22"/>
          <w:highlight w:val="none"/>
        </w:rPr>
        <w:t xml:space="preserve">一、资格审查。</w:t>
      </w:r>
      <w:r>
        <w:rPr>
          <w:rFonts w:hint="eastAsia"/>
          <w:sz w:val="24"/>
          <w:highlight w:val="none"/>
        </w:rPr>
        <w:t xml:space="preserve">资格审查人员按照下列指标对各投标人的资格进行审查，未通过审查的为无效标，不参与评标。</w:t>
      </w:r>
      <w:bookmarkEnd w:id="277"/>
      <w:r>
        <w:rPr>
          <w:rFonts w:hint="eastAsia" w:eastAsia="仿宋_GB2312"/>
          <w:sz w:val="24"/>
          <w:highlight w:val="none"/>
        </w:rPr>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W w:w="4484" w:type="dxa"/>
            <w:vAlign w:val="center"/>
            <w:textDirection w:val="lrTb"/>
            <w:noWrap w:val="false"/>
          </w:tcPr>
          <w:p>
            <w:pPr>
              <w:pStyle w:val="664"/>
              <w:jc w:val="center"/>
              <w:rPr>
                <w:szCs w:val="22"/>
                <w:highlight w:val="none"/>
              </w:rPr>
            </w:pPr>
            <w:r>
              <w:rPr>
                <w:szCs w:val="22"/>
                <w:highlight w:val="none"/>
              </w:rPr>
              <w:t xml:space="preserve">资格审查因素</w:t>
            </w:r>
            <w:r>
              <w:rPr>
                <w:szCs w:val="22"/>
                <w:highlight w:val="none"/>
              </w:rPr>
            </w:r>
            <w:r/>
          </w:p>
        </w:tc>
        <w:tc>
          <w:tcPr>
            <w:tcW w:w="4485" w:type="dxa"/>
            <w:vAlign w:val="center"/>
            <w:textDirection w:val="lrTb"/>
            <w:noWrap w:val="false"/>
          </w:tcPr>
          <w:p>
            <w:pPr>
              <w:pStyle w:val="664"/>
              <w:jc w:val="center"/>
              <w:rPr>
                <w:szCs w:val="22"/>
                <w:highlight w:val="none"/>
              </w:rPr>
            </w:pPr>
            <w:r>
              <w:rPr>
                <w:szCs w:val="22"/>
                <w:highlight w:val="none"/>
              </w:rPr>
              <w:t xml:space="preserve">审查标准</w:t>
            </w:r>
            <w:r>
              <w:rPr>
                <w:szCs w:val="22"/>
                <w:highlight w:val="none"/>
              </w:rPr>
            </w:r>
            <w:r/>
          </w:p>
        </w:tc>
      </w:tr>
      <w:tr>
        <w:trPr/>
        <w:tc>
          <w:tcPr>
            <w:tcW w:w="4484" w:type="dxa"/>
            <w:vAlign w:val="center"/>
            <w:textDirection w:val="lrTb"/>
            <w:noWrap w:val="false"/>
          </w:tcPr>
          <w:p>
            <w:pPr>
              <w:pStyle w:val="664"/>
              <w:jc w:val="left"/>
              <w:rPr>
                <w:szCs w:val="22"/>
                <w:highlight w:val="none"/>
              </w:rPr>
            </w:pPr>
            <w:r>
              <w:rPr>
                <w:szCs w:val="22"/>
                <w:highlight w:val="none"/>
              </w:rPr>
              <w:t xml:space="preserve">投标声明及承诺函</w:t>
            </w:r>
            <w:r>
              <w:rPr>
                <w:szCs w:val="22"/>
                <w:highlight w:val="none"/>
              </w:rPr>
            </w:r>
            <w:r/>
          </w:p>
        </w:tc>
        <w:tc>
          <w:tcPr>
            <w:tcW w:w="4485" w:type="dxa"/>
            <w:vAlign w:val="center"/>
            <w:textDirection w:val="lrTb"/>
            <w:noWrap w:val="false"/>
          </w:tcPr>
          <w:p>
            <w:pPr>
              <w:pStyle w:val="664"/>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664"/>
              <w:jc w:val="left"/>
              <w:rPr>
                <w:szCs w:val="22"/>
                <w:highlight w:val="none"/>
              </w:rPr>
            </w:pPr>
            <w:r>
              <w:rPr>
                <w:szCs w:val="22"/>
                <w:highlight w:val="none"/>
              </w:rPr>
              <w:t xml:space="preserve">信用信息</w:t>
            </w:r>
            <w:r>
              <w:rPr>
                <w:szCs w:val="22"/>
                <w:highlight w:val="none"/>
              </w:rPr>
            </w:r>
            <w:r/>
          </w:p>
        </w:tc>
        <w:tc>
          <w:tcPr>
            <w:tcW w:w="4485" w:type="dxa"/>
            <w:vAlign w:val="center"/>
            <w:textDirection w:val="lrTb"/>
            <w:noWrap w:val="false"/>
          </w:tcPr>
          <w:p>
            <w:pPr>
              <w:pStyle w:val="664"/>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664"/>
              <w:jc w:val="left"/>
              <w:rPr>
                <w:szCs w:val="22"/>
                <w:highlight w:val="none"/>
              </w:rPr>
            </w:pPr>
            <w:r>
              <w:rPr>
                <w:szCs w:val="22"/>
                <w:highlight w:val="none"/>
              </w:rPr>
              <w:t xml:space="preserve">联合体投标</w:t>
            </w:r>
            <w:r>
              <w:rPr>
                <w:szCs w:val="22"/>
                <w:highlight w:val="none"/>
              </w:rPr>
            </w:r>
            <w:r/>
          </w:p>
        </w:tc>
        <w:tc>
          <w:tcPr>
            <w:tcW w:w="4485" w:type="dxa"/>
            <w:vAlign w:val="center"/>
            <w:textDirection w:val="lrTb"/>
            <w:noWrap w:val="false"/>
          </w:tcPr>
          <w:p>
            <w:pPr>
              <w:pStyle w:val="664"/>
              <w:jc w:val="left"/>
              <w:rPr>
                <w:szCs w:val="22"/>
                <w:highlight w:val="none"/>
              </w:rPr>
            </w:pPr>
            <w:r>
              <w:rPr>
                <w:szCs w:val="22"/>
                <w:highlight w:val="none"/>
              </w:rPr>
              <w:t xml:space="preserve">不接受联合体投标</w:t>
            </w:r>
            <w:r>
              <w:rPr>
                <w:szCs w:val="22"/>
                <w:highlight w:val="none"/>
              </w:rPr>
            </w:r>
            <w:r/>
          </w:p>
        </w:tc>
      </w:tr>
    </w:tbl>
    <w:p>
      <w:pPr>
        <w:pStyle w:val="664"/>
        <w:spacing w:line="500" w:lineRule="exact"/>
        <w:rPr>
          <w:rFonts w:eastAsia="仿宋_GB2312"/>
          <w:sz w:val="24"/>
          <w:highlight w:val="none"/>
        </w:rPr>
        <w:outlineLvl w:val="2"/>
      </w:pPr>
      <w:r/>
      <w:bookmarkStart w:id="278" w:name="_Toc17507"/>
      <w:r>
        <w:rPr>
          <w:rFonts w:hint="eastAsia" w:eastAsia="仿宋_GB2312"/>
          <w:b/>
          <w:sz w:val="28"/>
          <w:szCs w:val="22"/>
          <w:highlight w:val="none"/>
        </w:rPr>
        <w:t xml:space="preserve">二、符合性审查。</w:t>
      </w:r>
      <w:r>
        <w:rPr>
          <w:rFonts w:hint="eastAsia"/>
          <w:sz w:val="24"/>
          <w:highlight w:val="none"/>
        </w:rPr>
        <w:t xml:space="preserve">评标委员会首先按照下列指标对各投标人的投标文件进行符合性审查，未通过审查的为无效标，不再参与评审。</w:t>
      </w:r>
      <w:bookmarkEnd w:id="278"/>
      <w:r>
        <w:rPr>
          <w:rFonts w:eastAsia="仿宋_GB2312"/>
          <w:sz w:val="24"/>
          <w:highlight w:val="none"/>
        </w:rPr>
      </w:r>
      <w:r/>
    </w:p>
    <w:tbl>
      <w:tblPr>
        <w:tblW w:w="8983"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rHeight w:val="264"/>
        </w:trPr>
        <w:tc>
          <w:tcPr>
            <w:tcW w:w="4490" w:type="dxa"/>
            <w:vAlign w:val="center"/>
            <w:textDirection w:val="lrTb"/>
            <w:noWrap w:val="false"/>
          </w:tcPr>
          <w:p>
            <w:pPr>
              <w:pStyle w:val="664"/>
              <w:jc w:val="center"/>
              <w:rPr>
                <w:szCs w:val="22"/>
                <w:highlight w:val="none"/>
              </w:rPr>
            </w:pPr>
            <w:r>
              <w:rPr>
                <w:szCs w:val="22"/>
                <w:highlight w:val="none"/>
              </w:rPr>
              <w:t xml:space="preserve">符合性审查因素</w:t>
            </w:r>
            <w:r>
              <w:rPr>
                <w:szCs w:val="22"/>
                <w:highlight w:val="none"/>
              </w:rPr>
            </w:r>
            <w:r/>
          </w:p>
        </w:tc>
        <w:tc>
          <w:tcPr>
            <w:tcW w:w="4493" w:type="dxa"/>
            <w:vAlign w:val="center"/>
            <w:textDirection w:val="lrTb"/>
            <w:noWrap w:val="false"/>
          </w:tcPr>
          <w:p>
            <w:pPr>
              <w:pStyle w:val="664"/>
              <w:jc w:val="center"/>
              <w:rPr>
                <w:szCs w:val="22"/>
                <w:highlight w:val="none"/>
              </w:rPr>
            </w:pPr>
            <w:r>
              <w:rPr>
                <w:szCs w:val="22"/>
                <w:highlight w:val="none"/>
              </w:rPr>
              <w:t xml:space="preserve">审查标准</w:t>
            </w:r>
            <w:r>
              <w:rPr>
                <w:szCs w:val="22"/>
                <w:highlight w:val="none"/>
              </w:rPr>
            </w:r>
            <w:r/>
          </w:p>
        </w:tc>
      </w:tr>
      <w:tr>
        <w:trPr>
          <w:trHeight w:val="195"/>
        </w:trPr>
        <w:tc>
          <w:tcPr>
            <w:tcW w:w="4490" w:type="dxa"/>
            <w:vAlign w:val="center"/>
            <w:textDirection w:val="lrTb"/>
            <w:noWrap w:val="false"/>
          </w:tcPr>
          <w:p>
            <w:pPr>
              <w:pStyle w:val="664"/>
              <w:jc w:val="left"/>
              <w:rPr>
                <w:szCs w:val="22"/>
                <w:highlight w:val="none"/>
              </w:rPr>
            </w:pPr>
            <w:r>
              <w:rPr>
                <w:rFonts w:hint="eastAsia"/>
                <w:szCs w:val="22"/>
                <w:highlight w:val="none"/>
              </w:rPr>
              <w:t xml:space="preserve">法人授权书</w:t>
            </w:r>
            <w:r>
              <w:rPr>
                <w:szCs w:val="22"/>
                <w:highlight w:val="none"/>
              </w:rPr>
            </w:r>
            <w:r/>
          </w:p>
        </w:tc>
        <w:tc>
          <w:tcPr>
            <w:tcW w:w="4493" w:type="dxa"/>
            <w:vAlign w:val="center"/>
            <w:textDirection w:val="lrTb"/>
            <w:noWrap w:val="false"/>
          </w:tcPr>
          <w:p>
            <w:pPr>
              <w:pStyle w:val="664"/>
              <w:jc w:val="left"/>
              <w:rPr>
                <w:szCs w:val="22"/>
                <w:highlight w:val="none"/>
              </w:rPr>
            </w:pPr>
            <w:r>
              <w:rPr>
                <w:szCs w:val="22"/>
                <w:highlight w:val="none"/>
              </w:rPr>
              <w:t xml:space="preserve">符合招标文件要求</w:t>
            </w:r>
            <w:r>
              <w:rPr>
                <w:szCs w:val="22"/>
                <w:highlight w:val="none"/>
              </w:rPr>
            </w:r>
            <w:r/>
          </w:p>
        </w:tc>
      </w:tr>
      <w:tr>
        <w:trPr/>
        <w:tc>
          <w:tcPr>
            <w:tcW w:w="4490" w:type="dxa"/>
            <w:vAlign w:val="center"/>
            <w:textDirection w:val="lrTb"/>
            <w:noWrap w:val="false"/>
          </w:tcPr>
          <w:p>
            <w:pPr>
              <w:pStyle w:val="664"/>
              <w:jc w:val="left"/>
              <w:rPr>
                <w:szCs w:val="22"/>
                <w:highlight w:val="none"/>
              </w:rPr>
            </w:pPr>
            <w:r>
              <w:rPr>
                <w:rFonts w:hint="eastAsia"/>
                <w:szCs w:val="22"/>
                <w:highlight w:val="none"/>
              </w:rPr>
              <w:t xml:space="preserve">开标一览表</w:t>
            </w:r>
            <w:r>
              <w:rPr>
                <w:szCs w:val="22"/>
                <w:highlight w:val="none"/>
              </w:rPr>
            </w:r>
            <w:r/>
          </w:p>
        </w:tc>
        <w:tc>
          <w:tcPr>
            <w:tcW w:w="4493" w:type="dxa"/>
            <w:vAlign w:val="center"/>
            <w:textDirection w:val="lrTb"/>
            <w:noWrap w:val="false"/>
          </w:tcPr>
          <w:p>
            <w:pPr>
              <w:pStyle w:val="664"/>
              <w:jc w:val="left"/>
              <w:rPr>
                <w:szCs w:val="22"/>
                <w:highlight w:val="none"/>
              </w:rPr>
            </w:pPr>
            <w:r>
              <w:rPr>
                <w:rFonts w:hint="eastAsia"/>
                <w:szCs w:val="22"/>
                <w:highlight w:val="none"/>
              </w:rPr>
              <w:t xml:space="preserve">符合招标文件要求</w:t>
            </w:r>
            <w:r>
              <w:rPr>
                <w:szCs w:val="22"/>
                <w:highlight w:val="none"/>
              </w:rPr>
            </w:r>
            <w:r/>
          </w:p>
        </w:tc>
      </w:tr>
      <w:tr>
        <w:trPr>
          <w:trHeight w:val="209"/>
        </w:trPr>
        <w:tc>
          <w:tcPr>
            <w:tcW w:w="4490" w:type="dxa"/>
            <w:vAlign w:val="center"/>
            <w:textDirection w:val="lrTb"/>
            <w:noWrap w:val="false"/>
          </w:tcPr>
          <w:p>
            <w:pPr>
              <w:pStyle w:val="664"/>
              <w:jc w:val="left"/>
              <w:rPr>
                <w:szCs w:val="22"/>
                <w:highlight w:val="none"/>
              </w:rPr>
            </w:pPr>
            <w:r>
              <w:rPr>
                <w:szCs w:val="22"/>
                <w:highlight w:val="none"/>
              </w:rPr>
              <w:t xml:space="preserve">其他</w:t>
            </w:r>
            <w:r>
              <w:rPr>
                <w:szCs w:val="22"/>
                <w:highlight w:val="none"/>
              </w:rPr>
            </w:r>
            <w:r/>
          </w:p>
        </w:tc>
        <w:tc>
          <w:tcPr>
            <w:tcW w:w="4493" w:type="dxa"/>
            <w:vAlign w:val="center"/>
            <w:textDirection w:val="lrTb"/>
            <w:noWrap w:val="false"/>
          </w:tcPr>
          <w:p>
            <w:pPr>
              <w:pStyle w:val="664"/>
              <w:jc w:val="left"/>
              <w:rPr>
                <w:szCs w:val="22"/>
                <w:highlight w:val="none"/>
              </w:rPr>
            </w:pPr>
            <w:r>
              <w:rPr>
                <w:szCs w:val="22"/>
                <w:highlight w:val="none"/>
              </w:rPr>
              <w:t xml:space="preserve">符合招标文件要求</w:t>
            </w:r>
            <w:r>
              <w:rPr>
                <w:szCs w:val="22"/>
                <w:highlight w:val="none"/>
              </w:rPr>
            </w:r>
            <w:r/>
          </w:p>
        </w:tc>
      </w:tr>
    </w:tbl>
    <w:p>
      <w:pPr>
        <w:pStyle w:val="664"/>
        <w:spacing w:line="500" w:lineRule="exact"/>
        <w:rPr>
          <w:rFonts w:hint="eastAsia" w:eastAsia="仿宋_GB2312"/>
          <w:b/>
          <w:sz w:val="28"/>
          <w:szCs w:val="22"/>
          <w:highlight w:val="none"/>
        </w:rPr>
        <w:outlineLvl w:val="2"/>
      </w:pPr>
      <w:r/>
      <w:bookmarkStart w:id="279" w:name="_Toc13539"/>
      <w:r>
        <w:rPr>
          <w:rFonts w:hint="eastAsia" w:eastAsia="仿宋_GB2312"/>
          <w:b/>
          <w:sz w:val="28"/>
          <w:szCs w:val="22"/>
          <w:highlight w:val="none"/>
        </w:rPr>
        <w:t xml:space="preserve">三、评分办法—综合评分法</w:t>
      </w:r>
      <w:bookmarkEnd w:id="279"/>
      <w:r>
        <w:rPr>
          <w:rFonts w:hint="eastAsia" w:eastAsia="仿宋_GB2312"/>
          <w:b/>
          <w:sz w:val="28"/>
          <w:szCs w:val="22"/>
          <w:highlight w:val="none"/>
        </w:rPr>
      </w:r>
      <w:r/>
    </w:p>
    <w:p>
      <w:pPr>
        <w:pStyle w:val="664"/>
        <w:ind w:firstLine="482"/>
        <w:spacing w:line="500" w:lineRule="exact"/>
        <w:rPr>
          <w:rFonts w:hint="eastAsia"/>
          <w:sz w:val="24"/>
          <w:highlight w:val="none"/>
        </w:rPr>
      </w:pPr>
      <w:r>
        <w:rPr>
          <w:rFonts w:hint="eastAsia" w:eastAsia="仿宋_GB2312"/>
          <w:b/>
          <w:sz w:val="24"/>
          <w:highlight w:val="none"/>
        </w:rPr>
        <w:t xml:space="preserve">（一）评标办法：</w:t>
      </w:r>
      <w:r>
        <w:rPr>
          <w:rFonts w:hint="eastAsia"/>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sz w:val="24"/>
          <w:highlight w:val="none"/>
        </w:rPr>
      </w:r>
      <w:r/>
    </w:p>
    <w:p>
      <w:pPr>
        <w:pStyle w:val="664"/>
        <w:spacing w:line="500" w:lineRule="exact"/>
        <w:rPr>
          <w:rFonts w:hint="eastAsia"/>
          <w:sz w:val="24"/>
          <w:highlight w:val="none"/>
        </w:rPr>
      </w:pPr>
      <w:r>
        <w:rPr>
          <w:rFonts w:hint="eastAsia"/>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sz w:val="24"/>
          <w:highlight w:val="none"/>
        </w:rPr>
      </w:r>
      <w:r/>
    </w:p>
    <w:p>
      <w:pPr>
        <w:pStyle w:val="664"/>
        <w:ind w:firstLine="480"/>
        <w:spacing w:line="500" w:lineRule="exact"/>
        <w:rPr>
          <w:rFonts w:hint="eastAsia"/>
          <w:sz w:val="24"/>
          <w:highlight w:val="none"/>
        </w:rPr>
      </w:pPr>
      <w:r>
        <w:rPr>
          <w:rFonts w:hint="eastAsia"/>
          <w:sz w:val="24"/>
          <w:highlight w:val="none"/>
        </w:rPr>
        <w:t xml:space="preserve">综合评分保留至小数点后两位。 </w:t>
      </w:r>
      <w:r>
        <w:rPr>
          <w:rFonts w:hint="eastAsia"/>
          <w:sz w:val="24"/>
          <w:highlight w:val="none"/>
        </w:rPr>
      </w:r>
      <w:r/>
    </w:p>
    <w:p>
      <w:pPr>
        <w:pStyle w:val="664"/>
        <w:ind w:firstLine="482"/>
        <w:jc w:val="left"/>
        <w:spacing w:line="500" w:lineRule="exact"/>
        <w:rPr>
          <w:rFonts w:hint="eastAsia" w:eastAsia="仿宋_GB2312"/>
          <w:sz w:val="24"/>
          <w:highlight w:val="none"/>
        </w:rPr>
      </w:pPr>
      <w:r>
        <w:rPr>
          <w:rFonts w:hint="eastAsia" w:eastAsia="仿宋_GB2312"/>
          <w:b/>
          <w:sz w:val="24"/>
          <w:highlight w:val="none"/>
        </w:rPr>
        <w:t xml:space="preserve">（二）详细评审。</w:t>
      </w:r>
      <w:r>
        <w:rPr>
          <w:rFonts w:hint="eastAsia"/>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eastAsia="仿宋_GB2312"/>
          <w:sz w:val="24"/>
          <w:highlight w:val="none"/>
        </w:rPr>
      </w:r>
      <w:r/>
    </w:p>
    <w:tbl>
      <w:tblPr>
        <w:tblW w:w="8238" w:type="dxa"/>
        <w:tblInd w:w="3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1386"/>
        <w:gridCol w:w="5262"/>
      </w:tblGrid>
      <w:tr>
        <w:trPr/>
        <w:tc>
          <w:tcPr>
            <w:tcW w:w="1590" w:type="dxa"/>
            <w:vAlign w:val="center"/>
            <w:textDirection w:val="lrTb"/>
            <w:noWrap w:val="false"/>
          </w:tcPr>
          <w:p>
            <w:pPr>
              <w:pStyle w:val="664"/>
              <w:jc w:val="center"/>
              <w:rPr>
                <w:rFonts w:ascii="宋体" w:hAnsi="宋体"/>
                <w:szCs w:val="22"/>
                <w:highlight w:val="none"/>
              </w:rPr>
            </w:pPr>
            <w:r/>
            <w:bookmarkStart w:id="280" w:name="EBe0cfd1035ea44f689f97db50fccddc8b"/>
            <w:r>
              <w:rPr>
                <w:rFonts w:ascii="宋体" w:hAnsi="宋体"/>
                <w:szCs w:val="22"/>
                <w:highlight w:val="none"/>
              </w:rPr>
              <w:t xml:space="preserve">评审因素</w:t>
            </w:r>
            <w:r>
              <w:rPr>
                <w:rFonts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分数</w:t>
            </w:r>
            <w:r>
              <w:rPr>
                <w:rFonts w:ascii="宋体" w:hAnsi="宋体"/>
                <w:szCs w:val="22"/>
                <w:highlight w:val="none"/>
              </w:rPr>
            </w:r>
            <w:r/>
          </w:p>
        </w:tc>
        <w:tc>
          <w:tcPr>
            <w:tcW w:w="5262"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评审标准</w:t>
            </w:r>
            <w:r>
              <w:rPr>
                <w:rFonts w:ascii="宋体" w:hAnsi="宋体"/>
                <w:szCs w:val="22"/>
                <w:highlight w:val="none"/>
              </w:rPr>
            </w:r>
            <w:r/>
          </w:p>
        </w:tc>
      </w:tr>
      <w:tr>
        <w:trPr/>
        <w:tc>
          <w:tcPr>
            <w:tcW w:w="1590"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投标报价</w:t>
            </w:r>
            <w:r>
              <w:rPr>
                <w:rFonts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30.00分</w:t>
            </w:r>
            <w:r>
              <w:rPr>
                <w:rFonts w:ascii="宋体" w:hAnsi="宋体"/>
                <w:szCs w:val="22"/>
                <w:highlight w:val="none"/>
              </w:rPr>
            </w:r>
            <w:r/>
          </w:p>
        </w:tc>
        <w:tc>
          <w:tcPr>
            <w:tcW w:w="5262" w:type="dxa"/>
            <w:vAlign w:val="center"/>
            <w:textDirection w:val="lrTb"/>
            <w:noWrap w:val="false"/>
          </w:tcPr>
          <w:p>
            <w:pPr>
              <w:pStyle w:val="664"/>
              <w:jc w:val="left"/>
              <w:rPr>
                <w:rFonts w:ascii="宋体" w:hAnsi="宋体"/>
                <w:szCs w:val="22"/>
                <w:highlight w:val="none"/>
              </w:rPr>
            </w:pPr>
            <w:r>
              <w:rPr>
                <w:rFonts w:ascii="宋体" w:hAnsi="宋体"/>
                <w:szCs w:val="22"/>
                <w:highlight w:val="none"/>
              </w:rPr>
              <w:t xml:space="preserve">采用低价优先法计算，即满足招标文件要求且投标价格最低的投标报价为评标基准价，其价格分为满分。其他投标人投标报价得分＝（评标基准价/投标报价）*30。</w:t>
            </w:r>
            <w:r>
              <w:rPr>
                <w:rFonts w:ascii="宋体" w:hAnsi="宋体"/>
                <w:szCs w:val="22"/>
                <w:highlight w:val="none"/>
              </w:rPr>
            </w:r>
            <w:r/>
          </w:p>
          <w:p>
            <w:pPr>
              <w:pStyle w:val="664"/>
              <w:jc w:val="left"/>
              <w:rPr>
                <w:rFonts w:ascii="宋体" w:hAnsi="宋体"/>
                <w:szCs w:val="22"/>
                <w:highlight w:val="none"/>
              </w:rPr>
            </w:pPr>
            <w:r>
              <w:rPr>
                <w:rFonts w:hint="eastAsia" w:ascii="宋体" w:hAnsi="宋体"/>
                <w:szCs w:val="22"/>
                <w:highlight w:val="none"/>
              </w:rPr>
              <w:t xml:space="preserve">注：符合规定的小微企业（含监狱企业和残疾人福利单位）报价给予10%的扣除，用扣除后的价格参与评审。</w:t>
            </w:r>
            <w:r>
              <w:rPr>
                <w:rFonts w:ascii="宋体" w:hAnsi="宋体"/>
                <w:szCs w:val="22"/>
                <w:highlight w:val="none"/>
              </w:rPr>
            </w:r>
            <w:r/>
          </w:p>
        </w:tc>
      </w:tr>
      <w:tr>
        <w:trPr/>
        <w:tc>
          <w:tcPr>
            <w:tcW w:w="1590" w:type="dxa"/>
            <w:vAlign w:val="center"/>
            <w:textDirection w:val="lrTb"/>
            <w:noWrap w:val="false"/>
          </w:tcPr>
          <w:p>
            <w:pPr>
              <w:pStyle w:val="664"/>
              <w:jc w:val="center"/>
              <w:rPr>
                <w:rFonts w:hint="eastAsia" w:ascii="宋体" w:hAnsi="宋体"/>
                <w:szCs w:val="22"/>
                <w:highlight w:val="none"/>
              </w:rPr>
            </w:pPr>
            <w:r>
              <w:rPr>
                <w:rFonts w:ascii="宋体" w:hAnsi="宋体"/>
                <w:szCs w:val="22"/>
                <w:highlight w:val="none"/>
              </w:rPr>
              <w:t xml:space="preserve">技术参数</w:t>
            </w:r>
            <w:r>
              <w:rPr>
                <w:rFonts w:hint="eastAsia" w:ascii="宋体" w:hAnsi="宋体"/>
                <w:szCs w:val="22"/>
                <w:highlight w:val="none"/>
              </w:rPr>
              <w:t xml:space="preserve">响应</w:t>
            </w:r>
            <w:r>
              <w:rPr>
                <w:rFonts w:hint="eastAsia"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hint="eastAsia" w:ascii="宋体" w:hAnsi="宋体"/>
                <w:szCs w:val="22"/>
                <w:highlight w:val="none"/>
              </w:rPr>
              <w:t xml:space="preserve">24</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664"/>
              <w:jc w:val="left"/>
              <w:rPr>
                <w:rFonts w:hint="eastAsia"/>
                <w:highlight w:val="none"/>
              </w:rPr>
            </w:pPr>
            <w:r>
              <w:rPr>
                <w:rFonts w:hint="eastAsia"/>
                <w:highlight w:val="none"/>
              </w:rPr>
              <w:t xml:space="preserve">针对采购文件“第四章 采购需求”的“四、采购清单及技术要求”所列内容进行评分，所投产品“技术参数要求”完全满足或优于招标文件指标要求的得24分。“▲”为重点参数要求（一个句号的完整内容为一“项”），共</w:t>
            </w:r>
            <w:r>
              <w:rPr>
                <w:rFonts w:hint="eastAsia"/>
                <w:highlight w:val="none"/>
                <w:lang w:val="en-US" w:eastAsia="zh-CN"/>
              </w:rPr>
              <w:t xml:space="preserve">6</w:t>
            </w:r>
            <w:r>
              <w:rPr>
                <w:rFonts w:hint="eastAsia"/>
                <w:highlight w:val="none"/>
              </w:rPr>
              <w:t xml:space="preserve">项，每有一项不满足的扣</w:t>
            </w:r>
            <w:r>
              <w:rPr>
                <w:highlight w:val="none"/>
              </w:rPr>
              <w:t xml:space="preserve">1</w:t>
            </w:r>
            <w:r>
              <w:rPr>
                <w:rFonts w:hint="eastAsia"/>
                <w:highlight w:val="none"/>
              </w:rPr>
              <w:t xml:space="preserve">分；其余为一般参数要求，共90项，每有一项（一个句号的完整内容为一“项”，“▲”项除外）负偏离扣0.2分，扣完为止。</w:t>
            </w:r>
            <w:r>
              <w:rPr>
                <w:rFonts w:hint="eastAsia"/>
                <w:highlight w:val="none"/>
              </w:rPr>
            </w:r>
            <w:r/>
          </w:p>
          <w:p>
            <w:pPr>
              <w:pStyle w:val="664"/>
              <w:jc w:val="left"/>
              <w:rPr>
                <w:rFonts w:hint="eastAsia" w:ascii="宋体" w:hAnsi="宋体"/>
                <w:highlight w:val="none"/>
              </w:rPr>
            </w:pPr>
            <w:r>
              <w:rPr>
                <w:rFonts w:hint="eastAsia"/>
                <w:highlight w:val="none"/>
              </w:rPr>
              <w:t xml:space="preserve">注：供应商针对本项评审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ascii="宋体" w:hAnsi="宋体"/>
                <w:highlight w:val="none"/>
              </w:rPr>
            </w:r>
            <w:r/>
          </w:p>
        </w:tc>
      </w:tr>
      <w:tr>
        <w:trPr/>
        <w:tc>
          <w:tcPr>
            <w:tcW w:w="1590" w:type="dxa"/>
            <w:vAlign w:val="center"/>
            <w:textDirection w:val="lrTb"/>
            <w:noWrap w:val="false"/>
          </w:tcPr>
          <w:p>
            <w:pPr>
              <w:pStyle w:val="664"/>
              <w:jc w:val="center"/>
              <w:rPr>
                <w:rFonts w:ascii="宋体" w:hAnsi="宋体"/>
                <w:szCs w:val="22"/>
                <w:highlight w:val="none"/>
              </w:rPr>
            </w:pPr>
            <w:r>
              <w:rPr>
                <w:rFonts w:hint="eastAsia" w:ascii="宋体" w:hAnsi="宋体"/>
                <w:szCs w:val="22"/>
                <w:highlight w:val="none"/>
              </w:rPr>
              <w:t xml:space="preserve">环境标志认证</w:t>
            </w:r>
            <w:r>
              <w:rPr>
                <w:rFonts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hint="eastAsia" w:ascii="宋体" w:hAnsi="宋体"/>
                <w:szCs w:val="22"/>
                <w:highlight w:val="none"/>
              </w:rPr>
              <w:t xml:space="preserve">2.00分</w:t>
            </w:r>
            <w:r>
              <w:rPr>
                <w:rFonts w:ascii="宋体" w:hAnsi="宋体"/>
                <w:szCs w:val="22"/>
                <w:highlight w:val="none"/>
              </w:rPr>
            </w:r>
            <w:r/>
          </w:p>
        </w:tc>
        <w:tc>
          <w:tcPr>
            <w:tcW w:w="5262" w:type="dxa"/>
            <w:vAlign w:val="center"/>
            <w:textDirection w:val="lrTb"/>
            <w:noWrap w:val="false"/>
          </w:tcPr>
          <w:p>
            <w:pPr>
              <w:pStyle w:val="664"/>
              <w:jc w:val="left"/>
              <w:rPr>
                <w:rFonts w:hint="eastAsia"/>
                <w:highlight w:val="none"/>
              </w:rPr>
            </w:pPr>
            <w:r>
              <w:rPr>
                <w:rFonts w:hint="eastAsia"/>
                <w:highlight w:val="none"/>
              </w:rPr>
              <w:t xml:space="preserve">所投产品在财政部、生态环境部公布的“环境标志产品政府采购品目清单”内，且投标文件中提供国家市场监督管理总局确定的列入“参与实施政府采购环境标志产品认证机构名录”内的认证机构出具的、有效期内的该产品环境认证证书电子件，所投产品每提供一个该证书电子件的得1分，最高得2分。注：投标文件提供上述证书电子件和在国家市场监督管理总局全国认证认可信息公共服务平台查询认证完整页面截图，未提供的不得分。</w:t>
            </w:r>
            <w:r>
              <w:rPr>
                <w:rFonts w:hint="eastAsia"/>
                <w:highlight w:val="none"/>
              </w:rPr>
            </w:r>
            <w:r/>
          </w:p>
        </w:tc>
      </w:tr>
      <w:tr>
        <w:trPr/>
        <w:tc>
          <w:tcPr>
            <w:tcW w:w="1590"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企业业绩</w:t>
            </w:r>
            <w:r>
              <w:rPr>
                <w:rFonts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hint="eastAsia" w:ascii="宋体" w:hAnsi="宋体"/>
                <w:szCs w:val="22"/>
                <w:highlight w:val="none"/>
              </w:rPr>
              <w:t xml:space="preserve">9</w:t>
            </w:r>
            <w:r>
              <w:rPr>
                <w:rFonts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664"/>
              <w:jc w:val="left"/>
              <w:rPr>
                <w:rFonts w:hint="eastAsia" w:ascii="宋体" w:hAnsi="宋体"/>
                <w:highlight w:val="none"/>
              </w:rPr>
            </w:pPr>
            <w:r>
              <w:rPr>
                <w:rFonts w:hint="eastAsia" w:ascii="宋体" w:hAnsi="宋体"/>
                <w:highlight w:val="none"/>
              </w:rPr>
              <w:t xml:space="preserve">投标人自2022年1月1日 (以合同签订时间为准) 以来，具有类似项目业绩的，每有一个得3分，最高得9分。</w:t>
            </w:r>
            <w:r>
              <w:rPr>
                <w:rFonts w:hint="eastAsia" w:ascii="宋体" w:hAnsi="宋体"/>
                <w:highlight w:val="none"/>
              </w:rPr>
            </w:r>
            <w:r/>
          </w:p>
          <w:p>
            <w:pPr>
              <w:pStyle w:val="664"/>
              <w:jc w:val="left"/>
              <w:rPr>
                <w:rFonts w:hint="eastAsia" w:ascii="宋体" w:hAnsi="宋体"/>
                <w:highlight w:val="none"/>
              </w:rPr>
            </w:pPr>
            <w:r>
              <w:rPr>
                <w:rFonts w:hint="eastAsia" w:ascii="宋体" w:hAnsi="宋体"/>
                <w:highlight w:val="none"/>
              </w:rPr>
              <w:t xml:space="preserve">注：响应文件中提供中标（成交）通知书、合同（主要内容、标的、合同签订时间清晰可见）证明和甲方出具的项目验收合格材料电子件，三者缺一不可，否则不得分。</w:t>
            </w:r>
            <w:r>
              <w:rPr>
                <w:rFonts w:hint="eastAsia" w:ascii="宋体" w:hAnsi="宋体"/>
                <w:highlight w:val="none"/>
              </w:rPr>
            </w:r>
            <w:r/>
          </w:p>
        </w:tc>
      </w:tr>
      <w:tr>
        <w:trPr/>
        <w:tc>
          <w:tcPr>
            <w:tcW w:w="1590" w:type="dxa"/>
            <w:vAlign w:val="center"/>
            <w:textDirection w:val="lrTb"/>
            <w:noWrap w:val="false"/>
          </w:tcPr>
          <w:p>
            <w:pPr>
              <w:pStyle w:val="664"/>
              <w:jc w:val="center"/>
              <w:rPr>
                <w:rFonts w:hint="eastAsia" w:ascii="宋体" w:hAnsi="宋体"/>
                <w:szCs w:val="22"/>
                <w:highlight w:val="none"/>
              </w:rPr>
            </w:pPr>
            <w:r>
              <w:rPr>
                <w:rFonts w:hint="eastAsia" w:ascii="宋体" w:hAnsi="宋体"/>
                <w:szCs w:val="22"/>
                <w:highlight w:val="none"/>
              </w:rPr>
              <w:t xml:space="preserve">企业实力</w:t>
            </w:r>
            <w:r>
              <w:rPr>
                <w:rFonts w:hint="eastAsia" w:ascii="宋体" w:hAnsi="宋体"/>
                <w:szCs w:val="22"/>
                <w:highlight w:val="none"/>
              </w:rPr>
            </w:r>
            <w:r/>
          </w:p>
        </w:tc>
        <w:tc>
          <w:tcPr>
            <w:tcW w:w="1386" w:type="dxa"/>
            <w:vAlign w:val="center"/>
            <w:textDirection w:val="lrTb"/>
            <w:noWrap w:val="false"/>
          </w:tcPr>
          <w:p>
            <w:pPr>
              <w:pStyle w:val="664"/>
              <w:jc w:val="center"/>
              <w:rPr>
                <w:rFonts w:hint="eastAsia" w:ascii="宋体" w:hAnsi="宋体"/>
                <w:szCs w:val="22"/>
                <w:highlight w:val="none"/>
              </w:rPr>
            </w:pPr>
            <w:r>
              <w:rPr>
                <w:rFonts w:hint="eastAsia" w:ascii="宋体" w:hAnsi="宋体"/>
                <w:szCs w:val="22"/>
                <w:highlight w:val="none"/>
              </w:rPr>
              <w:t xml:space="preserve">3.00分</w:t>
            </w:r>
            <w:r>
              <w:rPr>
                <w:rFonts w:hint="eastAsia" w:ascii="宋体" w:hAnsi="宋体"/>
                <w:szCs w:val="22"/>
                <w:highlight w:val="none"/>
              </w:rPr>
            </w:r>
            <w:r/>
          </w:p>
        </w:tc>
        <w:tc>
          <w:tcPr>
            <w:tcW w:w="5262" w:type="dxa"/>
            <w:vAlign w:val="center"/>
            <w:textDirection w:val="lrTb"/>
            <w:noWrap w:val="false"/>
          </w:tcPr>
          <w:p>
            <w:pPr>
              <w:pStyle w:val="664"/>
              <w:jc w:val="left"/>
              <w:rPr>
                <w:rFonts w:ascii="宋体" w:hAnsi="宋体"/>
                <w:highlight w:val="none"/>
              </w:rPr>
            </w:pPr>
            <w:r>
              <w:rPr>
                <w:rFonts w:hint="eastAsia" w:ascii="宋体" w:hAnsi="宋体"/>
                <w:highlight w:val="none"/>
              </w:rPr>
              <w:t xml:space="preserve">投标人具有有效的IS09001质量管理体系认证证书、ISO14001环境管理体系认证证书、ISO45001职业健康安全管理体系认证证书的，每有一个得1分，最高得3分。</w:t>
            </w:r>
            <w:r>
              <w:rPr>
                <w:rFonts w:ascii="宋体" w:hAnsi="宋体"/>
                <w:highlight w:val="none"/>
              </w:rPr>
            </w:r>
            <w:r/>
          </w:p>
          <w:p>
            <w:pPr>
              <w:pStyle w:val="664"/>
              <w:jc w:val="left"/>
              <w:rPr>
                <w:rFonts w:hint="eastAsia" w:ascii="宋体" w:hAnsi="宋体"/>
                <w:highlight w:val="none"/>
              </w:rPr>
            </w:pPr>
            <w:r>
              <w:rPr>
                <w:rFonts w:hint="eastAsia" w:ascii="宋体" w:hAnsi="宋体"/>
                <w:highlight w:val="none"/>
              </w:rPr>
              <w:t xml:space="preserve">注：投标文件中提供上述相关证书电子件和在国家市场监督管理总局全国认证认可信息公共服务平台查询认证有效的页面截图，未提供的不得分。</w:t>
            </w:r>
            <w:r>
              <w:rPr>
                <w:rFonts w:hint="eastAsia" w:ascii="宋体" w:hAnsi="宋体"/>
                <w:highlight w:val="none"/>
              </w:rPr>
            </w:r>
            <w:r/>
          </w:p>
        </w:tc>
      </w:tr>
      <w:tr>
        <w:trPr/>
        <w:tc>
          <w:tcPr>
            <w:tcW w:w="1590" w:type="dxa"/>
            <w:vAlign w:val="center"/>
            <w:textDirection w:val="lrTb"/>
            <w:noWrap w:val="false"/>
          </w:tcPr>
          <w:p>
            <w:pPr>
              <w:pStyle w:val="664"/>
              <w:jc w:val="center"/>
              <w:rPr>
                <w:rFonts w:hint="eastAsia" w:ascii="宋体" w:hAnsi="宋体"/>
                <w:szCs w:val="22"/>
                <w:highlight w:val="none"/>
              </w:rPr>
            </w:pPr>
            <w:r>
              <w:rPr>
                <w:rFonts w:hint="eastAsia" w:ascii="宋体" w:hAnsi="宋体"/>
                <w:highlight w:val="none"/>
              </w:rPr>
              <w:t xml:space="preserve">项目组人员</w:t>
            </w:r>
            <w:r>
              <w:rPr>
                <w:rFonts w:hint="eastAsia" w:ascii="宋体" w:hAnsi="宋体"/>
                <w:szCs w:val="22"/>
                <w:highlight w:val="none"/>
              </w:rPr>
            </w:r>
            <w:r/>
          </w:p>
        </w:tc>
        <w:tc>
          <w:tcPr>
            <w:tcW w:w="1386" w:type="dxa"/>
            <w:vAlign w:val="center"/>
            <w:textDirection w:val="lrTb"/>
            <w:noWrap w:val="false"/>
          </w:tcPr>
          <w:p>
            <w:pPr>
              <w:pStyle w:val="664"/>
              <w:jc w:val="center"/>
              <w:rPr>
                <w:rFonts w:hint="eastAsia" w:ascii="宋体" w:hAnsi="宋体"/>
                <w:szCs w:val="22"/>
                <w:highlight w:val="none"/>
              </w:rPr>
            </w:pPr>
            <w:r>
              <w:rPr>
                <w:rFonts w:hint="eastAsia" w:ascii="宋体" w:hAnsi="宋体"/>
                <w:szCs w:val="22"/>
                <w:highlight w:val="none"/>
              </w:rPr>
              <w:t xml:space="preserve">6</w:t>
            </w:r>
            <w:r>
              <w:rPr>
                <w:rFonts w:ascii="宋体" w:hAnsi="宋体"/>
                <w:szCs w:val="22"/>
                <w:highlight w:val="none"/>
              </w:rPr>
              <w:t xml:space="preserve">.00分</w:t>
            </w:r>
            <w:r>
              <w:rPr>
                <w:rFonts w:hint="eastAsia" w:ascii="宋体" w:hAnsi="宋体"/>
                <w:szCs w:val="22"/>
                <w:highlight w:val="none"/>
              </w:rPr>
            </w:r>
            <w:r/>
          </w:p>
        </w:tc>
        <w:tc>
          <w:tcPr>
            <w:tcW w:w="5262" w:type="dxa"/>
            <w:vAlign w:val="center"/>
            <w:textDirection w:val="lrTb"/>
            <w:noWrap w:val="false"/>
          </w:tcPr>
          <w:p>
            <w:pPr>
              <w:pStyle w:val="664"/>
              <w:jc w:val="left"/>
              <w:rPr>
                <w:rFonts w:hint="eastAsia" w:ascii="宋体" w:hAnsi="宋体"/>
                <w:szCs w:val="22"/>
                <w:highlight w:val="none"/>
              </w:rPr>
            </w:pPr>
            <w:r>
              <w:rPr>
                <w:rFonts w:hint="eastAsia" w:ascii="宋体" w:hAnsi="宋体"/>
                <w:szCs w:val="22"/>
                <w:highlight w:val="none"/>
              </w:rPr>
              <w:t xml:space="preserve">1、项目负责人具有计算机技术与软件专业技术资格的信息系统项目管理师证书或</w:t>
            </w:r>
            <w:r>
              <w:rPr>
                <w:rFonts w:hint="eastAsia" w:ascii="宋体" w:hAnsi="宋体"/>
                <w:szCs w:val="22"/>
                <w:highlight w:val="none"/>
                <w:lang w:val="en-US" w:eastAsia="zh-CN"/>
              </w:rPr>
              <w:t xml:space="preserve">电子信息类高级工程师</w:t>
            </w:r>
            <w:r>
              <w:rPr>
                <w:rFonts w:hint="eastAsia" w:ascii="宋体" w:hAnsi="宋体"/>
                <w:szCs w:val="22"/>
                <w:highlight w:val="none"/>
              </w:rPr>
              <w:t xml:space="preserve">证书</w:t>
            </w:r>
            <w:r>
              <w:rPr>
                <w:rFonts w:hint="eastAsia" w:ascii="宋体" w:hAnsi="宋体"/>
                <w:szCs w:val="22"/>
                <w:highlight w:val="none"/>
                <w:lang w:val="en-US" w:eastAsia="zh-CN"/>
              </w:rPr>
              <w:t xml:space="preserve">的</w:t>
            </w:r>
            <w:r>
              <w:rPr>
                <w:rFonts w:hint="eastAsia" w:ascii="宋体" w:hAnsi="宋体"/>
                <w:szCs w:val="22"/>
                <w:highlight w:val="none"/>
              </w:rPr>
              <w:t xml:space="preserve">，每提供一个证书得</w:t>
            </w:r>
            <w:r>
              <w:rPr>
                <w:rFonts w:ascii="宋体" w:hAnsi="宋体"/>
                <w:szCs w:val="22"/>
                <w:highlight w:val="none"/>
              </w:rPr>
              <w:t xml:space="preserve">1</w:t>
            </w:r>
            <w:r>
              <w:rPr>
                <w:rFonts w:hint="eastAsia" w:ascii="宋体" w:hAnsi="宋体"/>
                <w:szCs w:val="22"/>
                <w:highlight w:val="none"/>
              </w:rPr>
              <w:t xml:space="preserve">分，最高得2分，未提供不得分。 </w:t>
            </w:r>
            <w:r>
              <w:rPr>
                <w:rFonts w:hint="eastAsia" w:ascii="宋体" w:hAnsi="宋体"/>
                <w:szCs w:val="22"/>
                <w:highlight w:val="none"/>
              </w:rPr>
            </w:r>
            <w:r/>
          </w:p>
          <w:p>
            <w:pPr>
              <w:pStyle w:val="664"/>
              <w:jc w:val="left"/>
              <w:rPr>
                <w:rFonts w:hint="eastAsia" w:ascii="宋体" w:hAnsi="宋体"/>
                <w:szCs w:val="22"/>
                <w:highlight w:val="none"/>
              </w:rPr>
            </w:pPr>
            <w:r>
              <w:rPr>
                <w:rFonts w:hint="eastAsia" w:ascii="宋体" w:hAnsi="宋体"/>
                <w:szCs w:val="22"/>
                <w:highlight w:val="none"/>
              </w:rPr>
              <w:t xml:space="preserve">2、技术负责人具有计算机技术与软件专业技术资格的信息系统项目管理师证书或</w:t>
            </w:r>
            <w:r>
              <w:rPr>
                <w:rFonts w:hint="eastAsia" w:ascii="宋体" w:hAnsi="宋体"/>
                <w:szCs w:val="22"/>
                <w:highlight w:val="none"/>
                <w:lang w:val="en-US" w:eastAsia="zh-CN"/>
              </w:rPr>
              <w:t xml:space="preserve">电子信息类</w:t>
            </w:r>
            <w:r>
              <w:rPr>
                <w:rFonts w:hint="eastAsia" w:ascii="宋体" w:hAnsi="宋体"/>
                <w:szCs w:val="22"/>
                <w:highlight w:val="none"/>
              </w:rPr>
              <w:t xml:space="preserve">高级工程师证书的，每提供一个证书得1分，最高得2分，未提供不得分。 </w:t>
            </w:r>
            <w:r>
              <w:rPr>
                <w:rFonts w:hint="eastAsia" w:ascii="宋体" w:hAnsi="宋体"/>
                <w:szCs w:val="22"/>
                <w:highlight w:val="none"/>
              </w:rPr>
            </w:r>
            <w:r/>
          </w:p>
          <w:p>
            <w:pPr>
              <w:pStyle w:val="664"/>
              <w:jc w:val="left"/>
              <w:rPr>
                <w:rFonts w:ascii="宋体" w:hAnsi="宋体"/>
                <w:szCs w:val="22"/>
                <w:highlight w:val="none"/>
              </w:rPr>
            </w:pPr>
            <w:r>
              <w:rPr>
                <w:rFonts w:ascii="宋体" w:hAnsi="宋体"/>
                <w:szCs w:val="22"/>
                <w:highlight w:val="none"/>
              </w:rPr>
              <w:t xml:space="preserve">3、</w:t>
            </w:r>
            <w:r>
              <w:rPr>
                <w:rFonts w:hint="eastAsia" w:ascii="宋体" w:hAnsi="宋体"/>
                <w:szCs w:val="22"/>
                <w:highlight w:val="none"/>
              </w:rPr>
              <w:t xml:space="preserve">项目组人员（除项目负责人、技术负责人外）中具有计算机技术与软件专业技术资格的网络工程师证书或信息系统管理工程师证书或系统集成项目管理工程师证书，每有一个得</w:t>
            </w:r>
            <w:r>
              <w:rPr>
                <w:rFonts w:hint="eastAsia" w:ascii="宋体" w:hAnsi="宋体"/>
                <w:szCs w:val="22"/>
                <w:highlight w:val="none"/>
                <w:lang w:val="en-US" w:eastAsia="zh-CN"/>
              </w:rPr>
              <w:t xml:space="preserve">0.5</w:t>
            </w:r>
            <w:r>
              <w:rPr>
                <w:rFonts w:hint="eastAsia" w:ascii="宋体" w:hAnsi="宋体"/>
                <w:szCs w:val="22"/>
                <w:highlight w:val="none"/>
              </w:rPr>
              <w:t xml:space="preserve">分，最高得2分。</w:t>
            </w:r>
            <w:r>
              <w:rPr>
                <w:rFonts w:ascii="宋体" w:hAnsi="宋体"/>
                <w:szCs w:val="22"/>
                <w:highlight w:val="none"/>
              </w:rPr>
            </w:r>
            <w:r/>
          </w:p>
          <w:p>
            <w:pPr>
              <w:pStyle w:val="664"/>
              <w:jc w:val="left"/>
              <w:rPr>
                <w:rFonts w:hint="eastAsia" w:ascii="宋体" w:hAnsi="宋体"/>
                <w:highlight w:val="none"/>
              </w:rPr>
            </w:pPr>
            <w:r>
              <w:rPr>
                <w:rFonts w:hint="eastAsia" w:ascii="宋体" w:hAnsi="宋体"/>
                <w:szCs w:val="22"/>
                <w:highlight w:val="none"/>
              </w:rPr>
              <w:t xml:space="preserve">注：1、响应文件中同时提供相关证书原件扫描件和2025年</w:t>
            </w:r>
            <w:r>
              <w:rPr>
                <w:rFonts w:ascii="宋体" w:hAnsi="宋体"/>
                <w:szCs w:val="22"/>
                <w:highlight w:val="none"/>
              </w:rPr>
              <w:t xml:space="preserve">2</w:t>
            </w:r>
            <w:r>
              <w:rPr>
                <w:rFonts w:hint="eastAsia" w:ascii="宋体" w:hAnsi="宋体"/>
                <w:szCs w:val="22"/>
                <w:highlight w:val="none"/>
              </w:rPr>
              <w:t xml:space="preserve">月（含）以来供应商为其办理的任意1个月的社会养老保险或医疗保险缴纳证明，未提供不得分。2、项目组人员（除项目负责人、技术负责人外）中同一人具有多个证书的不重复计分。</w:t>
            </w:r>
            <w:r>
              <w:rPr>
                <w:rFonts w:hint="eastAsia" w:ascii="宋体" w:hAnsi="宋体"/>
                <w:highlight w:val="none"/>
              </w:rPr>
            </w:r>
            <w:r/>
          </w:p>
        </w:tc>
      </w:tr>
      <w:tr>
        <w:trPr/>
        <w:tc>
          <w:tcPr>
            <w:tcW w:w="1590" w:type="dxa"/>
            <w:vAlign w:val="center"/>
            <w:textDirection w:val="lrTb"/>
            <w:noWrap w:val="false"/>
          </w:tcPr>
          <w:p>
            <w:pPr>
              <w:pStyle w:val="664"/>
              <w:jc w:val="center"/>
              <w:rPr>
                <w:rFonts w:ascii="宋体" w:hAnsi="宋体"/>
                <w:szCs w:val="22"/>
                <w:highlight w:val="none"/>
              </w:rPr>
            </w:pPr>
            <w:r>
              <w:rPr>
                <w:rFonts w:hint="eastAsia" w:ascii="宋体" w:hAnsi="宋体"/>
                <w:szCs w:val="22"/>
                <w:highlight w:val="none"/>
              </w:rPr>
              <w:t xml:space="preserve">项目实施方案</w:t>
            </w:r>
            <w:r>
              <w:rPr>
                <w:rFonts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8.00分</w:t>
            </w:r>
            <w:r>
              <w:rPr>
                <w:rFonts w:ascii="宋体" w:hAnsi="宋体"/>
                <w:szCs w:val="22"/>
                <w:highlight w:val="none"/>
              </w:rPr>
            </w:r>
            <w:r/>
          </w:p>
        </w:tc>
        <w:tc>
          <w:tcPr>
            <w:tcW w:w="5262" w:type="dxa"/>
            <w:vAlign w:val="center"/>
            <w:textDirection w:val="lrTb"/>
            <w:noWrap w:val="false"/>
          </w:tcPr>
          <w:p>
            <w:pPr>
              <w:pStyle w:val="664"/>
              <w:jc w:val="left"/>
              <w:rPr>
                <w:rFonts w:hint="eastAsia" w:ascii="宋体" w:hAnsi="宋体"/>
                <w:highlight w:val="none"/>
              </w:rPr>
            </w:pPr>
            <w:r>
              <w:rPr>
                <w:rFonts w:hint="eastAsia" w:ascii="宋体" w:hAnsi="宋体"/>
                <w:highlight w:val="none"/>
              </w:rPr>
              <w:t xml:space="preserve">根据采购文件“第四章 采购需求”中“六、商务要求4、项目实施方案”制定方案。①方案完全满足采购需求，结构严谨，内容完整详实，能够针对采购项目内容要求而细化制定，整个方案语言表述准确清晰，优于采购需求的得8分；②方案基本满足采购需求，结构较严谨，内容较完整详实，能够针对采购项目内容要求而细化制定，整个方案语言表述较准确清晰的得</w:t>
            </w:r>
            <w:r>
              <w:rPr>
                <w:rFonts w:ascii="宋体" w:hAnsi="宋体"/>
                <w:highlight w:val="none"/>
              </w:rPr>
              <w:t xml:space="preserve">4</w:t>
            </w:r>
            <w:r>
              <w:rPr>
                <w:rFonts w:hint="eastAsia" w:ascii="宋体" w:hAnsi="宋体"/>
                <w:highlight w:val="none"/>
              </w:rPr>
              <w:t xml:space="preserve">分；③方案内容笼统，没有针对本项目细化制定，通过后期优化调整能够实现采购需求的得</w:t>
            </w:r>
            <w:r>
              <w:rPr>
                <w:rFonts w:ascii="宋体" w:hAnsi="宋体"/>
                <w:highlight w:val="none"/>
              </w:rPr>
              <w:t xml:space="preserve">2</w:t>
            </w:r>
            <w:r>
              <w:rPr>
                <w:rFonts w:hint="eastAsia" w:ascii="宋体" w:hAnsi="宋体"/>
                <w:highlight w:val="none"/>
              </w:rPr>
              <w:t xml:space="preserve">分；没有内容不得分。</w:t>
            </w:r>
            <w:r>
              <w:rPr>
                <w:rFonts w:hint="eastAsia" w:ascii="宋体" w:hAnsi="宋体"/>
                <w:highlight w:val="none"/>
              </w:rPr>
            </w:r>
            <w:r/>
          </w:p>
        </w:tc>
      </w:tr>
      <w:tr>
        <w:trPr/>
        <w:tc>
          <w:tcPr>
            <w:tcW w:w="1590" w:type="dxa"/>
            <w:vAlign w:val="center"/>
            <w:textDirection w:val="lrTb"/>
            <w:noWrap w:val="false"/>
          </w:tcPr>
          <w:p>
            <w:pPr>
              <w:pStyle w:val="664"/>
              <w:jc w:val="center"/>
              <w:rPr>
                <w:rFonts w:hint="eastAsia" w:ascii="宋体" w:hAnsi="宋体"/>
                <w:szCs w:val="22"/>
                <w:highlight w:val="none"/>
              </w:rPr>
            </w:pPr>
            <w:r>
              <w:rPr>
                <w:rFonts w:hint="eastAsia" w:ascii="宋体" w:hAnsi="宋体"/>
                <w:szCs w:val="22"/>
                <w:highlight w:val="none"/>
              </w:rPr>
              <w:t xml:space="preserve">需求理解分析</w:t>
            </w:r>
            <w:r>
              <w:rPr>
                <w:rFonts w:hint="eastAsia"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hint="eastAsia" w:ascii="宋体" w:hAnsi="宋体"/>
                <w:szCs w:val="22"/>
                <w:highlight w:val="none"/>
              </w:rPr>
              <w:t xml:space="preserve">6</w:t>
            </w:r>
            <w:r>
              <w:rPr>
                <w:rFonts w:ascii="宋体" w:hAnsi="宋体"/>
                <w:szCs w:val="22"/>
                <w:highlight w:val="none"/>
              </w:rPr>
              <w:t xml:space="preserve">.00</w:t>
            </w:r>
            <w:r>
              <w:rPr>
                <w:rFonts w:hint="eastAsia" w:ascii="宋体" w:hAnsi="宋体"/>
                <w:szCs w:val="22"/>
                <w:highlight w:val="none"/>
              </w:rPr>
              <w:t xml:space="preserve">分</w:t>
            </w:r>
            <w:r>
              <w:rPr>
                <w:rFonts w:ascii="宋体" w:hAnsi="宋体"/>
                <w:szCs w:val="22"/>
                <w:highlight w:val="none"/>
              </w:rPr>
            </w:r>
            <w:r/>
          </w:p>
        </w:tc>
        <w:tc>
          <w:tcPr>
            <w:tcW w:w="5262" w:type="dxa"/>
            <w:vAlign w:val="center"/>
            <w:textDirection w:val="lrTb"/>
            <w:noWrap w:val="false"/>
          </w:tcPr>
          <w:p>
            <w:pPr>
              <w:pStyle w:val="664"/>
              <w:jc w:val="left"/>
              <w:rPr>
                <w:rFonts w:hint="eastAsia" w:ascii="宋体" w:hAnsi="宋体"/>
                <w:highlight w:val="none"/>
              </w:rPr>
            </w:pPr>
            <w:r>
              <w:rPr>
                <w:rFonts w:hint="eastAsia" w:ascii="宋体" w:hAnsi="宋体"/>
                <w:highlight w:val="none"/>
              </w:rPr>
              <w:t xml:space="preserve">根据采购文件“第四章 采购需求”中“六、商务要求7、需求理解分析”制定方案。①方案完全满足采购需求，结构严谨，内容完整详实，能够针对采购项目内容要求而细化制定，整个方案语言表述准确清晰，优于采购需求的得6分；②方案基本满足采购需求，结构较严谨，内容较完整详实，能够针对采购项目内容要求而细化制定，整个方案语言表述较准确清晰的得4分；③方案内容笼统，没有针对本项目细化制定，通过后期优化调整能够实现采购需求的得2分；没有内容不得分。</w:t>
            </w:r>
            <w:r>
              <w:rPr>
                <w:rFonts w:hint="eastAsia" w:ascii="宋体" w:hAnsi="宋体"/>
                <w:highlight w:val="none"/>
              </w:rPr>
            </w:r>
            <w:r/>
          </w:p>
        </w:tc>
      </w:tr>
      <w:tr>
        <w:trPr/>
        <w:tc>
          <w:tcPr>
            <w:tcW w:w="1590" w:type="dxa"/>
            <w:vAlign w:val="center"/>
            <w:textDirection w:val="lrTb"/>
            <w:noWrap w:val="false"/>
          </w:tcPr>
          <w:p>
            <w:pPr>
              <w:pStyle w:val="664"/>
              <w:jc w:val="center"/>
              <w:rPr>
                <w:rFonts w:hint="eastAsia" w:ascii="宋体" w:hAnsi="宋体"/>
                <w:szCs w:val="22"/>
                <w:highlight w:val="none"/>
              </w:rPr>
            </w:pPr>
            <w:r>
              <w:rPr>
                <w:rFonts w:ascii="宋体" w:hAnsi="宋体"/>
                <w:szCs w:val="22"/>
                <w:highlight w:val="none"/>
              </w:rPr>
              <w:t xml:space="preserve">售后服务方案</w:t>
            </w:r>
            <w:r>
              <w:rPr>
                <w:rFonts w:hint="eastAsia" w:ascii="宋体" w:hAnsi="宋体"/>
                <w:szCs w:val="22"/>
                <w:highlight w:val="none"/>
              </w:rPr>
            </w:r>
            <w:r/>
          </w:p>
        </w:tc>
        <w:tc>
          <w:tcPr>
            <w:tcW w:w="1386" w:type="dxa"/>
            <w:vAlign w:val="center"/>
            <w:textDirection w:val="lrTb"/>
            <w:noWrap w:val="false"/>
          </w:tcPr>
          <w:p>
            <w:pPr>
              <w:pStyle w:val="664"/>
              <w:jc w:val="center"/>
              <w:rPr>
                <w:rFonts w:hint="eastAsia" w:ascii="宋体" w:hAnsi="宋体"/>
                <w:szCs w:val="22"/>
                <w:highlight w:val="none"/>
              </w:rPr>
            </w:pPr>
            <w:r>
              <w:rPr>
                <w:rFonts w:hint="eastAsia" w:ascii="宋体" w:hAnsi="宋体"/>
                <w:szCs w:val="22"/>
                <w:highlight w:val="none"/>
              </w:rPr>
              <w:t xml:space="preserve">6</w:t>
            </w:r>
            <w:r>
              <w:rPr>
                <w:rFonts w:ascii="宋体" w:hAnsi="宋体"/>
                <w:szCs w:val="22"/>
                <w:highlight w:val="none"/>
              </w:rPr>
              <w:t xml:space="preserve">.00</w:t>
            </w:r>
            <w:r>
              <w:rPr>
                <w:rFonts w:hint="eastAsia" w:ascii="宋体" w:hAnsi="宋体"/>
                <w:szCs w:val="22"/>
                <w:highlight w:val="none"/>
              </w:rPr>
              <w:t xml:space="preserve">分</w:t>
            </w:r>
            <w:r>
              <w:rPr>
                <w:rFonts w:hint="eastAsia" w:ascii="宋体" w:hAnsi="宋体"/>
                <w:szCs w:val="22"/>
                <w:highlight w:val="none"/>
              </w:rPr>
            </w:r>
            <w:r/>
          </w:p>
        </w:tc>
        <w:tc>
          <w:tcPr>
            <w:tcW w:w="5262" w:type="dxa"/>
            <w:vAlign w:val="center"/>
            <w:textDirection w:val="lrTb"/>
            <w:noWrap w:val="false"/>
          </w:tcPr>
          <w:p>
            <w:pPr>
              <w:pStyle w:val="664"/>
              <w:jc w:val="left"/>
              <w:rPr>
                <w:rFonts w:hint="eastAsia" w:ascii="宋体" w:hAnsi="宋体"/>
                <w:szCs w:val="22"/>
                <w:highlight w:val="none"/>
              </w:rPr>
            </w:pPr>
            <w:r>
              <w:rPr>
                <w:rFonts w:hint="eastAsia" w:ascii="宋体" w:hAnsi="宋体"/>
                <w:highlight w:val="none"/>
              </w:rPr>
              <w:t xml:space="preserve">根据采购文件“第四章 采购需求”中“六、商务要求1、售后服务要求”制定方案。①方案完全满足采购需求，结构严谨，内容完整详实，能够针对采购项目内容要求而细化制定，整个方案语言表述准确清晰，优于采购需求的得6分；②方案基本满足采购需求，结构较严谨，内容较完整详实，能够针对采购项目内容要求而细化制定，整个方案语言表述较准确清晰的得4分；③方案内容笼统，没有针对本项目细化制定，通过后期优化调整能够实现采购需求的得2分；没有内容不得分。</w:t>
            </w:r>
            <w:r>
              <w:rPr>
                <w:rFonts w:hint="eastAsia" w:ascii="宋体" w:hAnsi="宋体"/>
                <w:szCs w:val="22"/>
                <w:highlight w:val="none"/>
              </w:rPr>
            </w:r>
            <w:r/>
          </w:p>
        </w:tc>
      </w:tr>
      <w:tr>
        <w:trPr/>
        <w:tc>
          <w:tcPr>
            <w:tcW w:w="1590"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培训方案</w:t>
            </w:r>
            <w:r>
              <w:rPr>
                <w:rFonts w:ascii="宋体" w:hAnsi="宋体"/>
                <w:szCs w:val="22"/>
                <w:highlight w:val="none"/>
              </w:rPr>
            </w:r>
            <w:r/>
          </w:p>
        </w:tc>
        <w:tc>
          <w:tcPr>
            <w:tcW w:w="1386" w:type="dxa"/>
            <w:vAlign w:val="center"/>
            <w:textDirection w:val="lrTb"/>
            <w:noWrap w:val="false"/>
          </w:tcPr>
          <w:p>
            <w:pPr>
              <w:pStyle w:val="664"/>
              <w:jc w:val="center"/>
              <w:rPr>
                <w:rFonts w:hint="eastAsia" w:ascii="宋体" w:hAnsi="宋体"/>
                <w:szCs w:val="22"/>
                <w:highlight w:val="none"/>
              </w:rPr>
            </w:pPr>
            <w:r>
              <w:rPr>
                <w:rFonts w:ascii="宋体" w:hAnsi="宋体"/>
                <w:szCs w:val="22"/>
                <w:highlight w:val="none"/>
              </w:rPr>
              <w:t xml:space="preserve">3.00</w:t>
            </w:r>
            <w:r>
              <w:rPr>
                <w:rFonts w:hint="eastAsia" w:ascii="宋体" w:hAnsi="宋体"/>
                <w:szCs w:val="22"/>
                <w:highlight w:val="none"/>
              </w:rPr>
              <w:t xml:space="preserve">分</w:t>
            </w:r>
            <w:r>
              <w:rPr>
                <w:rFonts w:hint="eastAsia" w:ascii="宋体" w:hAnsi="宋体"/>
                <w:szCs w:val="22"/>
                <w:highlight w:val="none"/>
              </w:rPr>
            </w:r>
            <w:r/>
          </w:p>
        </w:tc>
        <w:tc>
          <w:tcPr>
            <w:tcW w:w="5262" w:type="dxa"/>
            <w:vAlign w:val="center"/>
            <w:textDirection w:val="lrTb"/>
            <w:noWrap w:val="false"/>
          </w:tcPr>
          <w:p>
            <w:pPr>
              <w:pStyle w:val="664"/>
              <w:jc w:val="left"/>
              <w:rPr>
                <w:rFonts w:hint="eastAsia" w:ascii="宋体" w:hAnsi="宋体"/>
                <w:szCs w:val="22"/>
                <w:highlight w:val="none"/>
              </w:rPr>
            </w:pPr>
            <w:r>
              <w:rPr>
                <w:rFonts w:hint="eastAsia" w:ascii="宋体" w:hAnsi="宋体"/>
                <w:highlight w:val="none"/>
              </w:rPr>
              <w:t xml:space="preserve">根据采购文件“第四章 采购需求”中“六、商务要求5、培训要求”制定方案。①方案完全满足采购需求，结构严谨，内容完整详实，能够针对采购项目内容要求而细化制定，整个方案语言表述准确清晰，优于采购需求的得</w:t>
            </w:r>
            <w:r>
              <w:rPr>
                <w:rFonts w:ascii="宋体" w:hAnsi="宋体"/>
                <w:highlight w:val="none"/>
              </w:rPr>
              <w:t xml:space="preserve">3</w:t>
            </w:r>
            <w:r>
              <w:rPr>
                <w:rFonts w:hint="eastAsia" w:ascii="宋体" w:hAnsi="宋体"/>
                <w:highlight w:val="none"/>
              </w:rPr>
              <w:t xml:space="preserve">分；②方案基本满足采购需求，结构较严谨，内容较完整详实，能够针对采购项目内容要求而细化制定，整个方案语言表述较准确清晰的得</w:t>
            </w:r>
            <w:r>
              <w:rPr>
                <w:rFonts w:ascii="宋体" w:hAnsi="宋体"/>
                <w:highlight w:val="none"/>
              </w:rPr>
              <w:t xml:space="preserve">2</w:t>
            </w:r>
            <w:r>
              <w:rPr>
                <w:rFonts w:hint="eastAsia" w:ascii="宋体" w:hAnsi="宋体"/>
                <w:highlight w:val="none"/>
              </w:rPr>
              <w:t xml:space="preserve">分；③方案内容笼统，没有针对本项目细化制定，通过后期优化调整能够实现采购需求的得1分；没有内容不得分。</w:t>
            </w:r>
            <w:r>
              <w:rPr>
                <w:rFonts w:hint="eastAsia" w:ascii="宋体" w:hAnsi="宋体"/>
                <w:szCs w:val="22"/>
                <w:highlight w:val="none"/>
              </w:rPr>
            </w:r>
            <w:r/>
          </w:p>
        </w:tc>
      </w:tr>
      <w:tr>
        <w:trPr/>
        <w:tc>
          <w:tcPr>
            <w:tcW w:w="1590" w:type="dxa"/>
            <w:vAlign w:val="center"/>
            <w:textDirection w:val="lrTb"/>
            <w:noWrap w:val="false"/>
          </w:tcPr>
          <w:p>
            <w:pPr>
              <w:pStyle w:val="664"/>
              <w:jc w:val="center"/>
              <w:rPr>
                <w:rFonts w:ascii="宋体" w:hAnsi="宋体"/>
                <w:szCs w:val="22"/>
                <w:highlight w:val="none"/>
              </w:rPr>
            </w:pPr>
            <w:r>
              <w:rPr>
                <w:rFonts w:hint="eastAsia" w:ascii="宋体" w:hAnsi="宋体"/>
                <w:szCs w:val="22"/>
                <w:highlight w:val="none"/>
              </w:rPr>
              <w:t xml:space="preserve">安全责任措施</w:t>
            </w:r>
            <w:r>
              <w:rPr>
                <w:rFonts w:ascii="宋体" w:hAnsi="宋体"/>
                <w:szCs w:val="22"/>
                <w:highlight w:val="none"/>
              </w:rPr>
            </w:r>
            <w:r/>
          </w:p>
        </w:tc>
        <w:tc>
          <w:tcPr>
            <w:tcW w:w="1386" w:type="dxa"/>
            <w:vAlign w:val="center"/>
            <w:textDirection w:val="lrTb"/>
            <w:noWrap w:val="false"/>
          </w:tcPr>
          <w:p>
            <w:pPr>
              <w:pStyle w:val="664"/>
              <w:jc w:val="center"/>
              <w:rPr>
                <w:rFonts w:ascii="宋体" w:hAnsi="宋体"/>
                <w:szCs w:val="22"/>
                <w:highlight w:val="none"/>
              </w:rPr>
            </w:pPr>
            <w:r>
              <w:rPr>
                <w:rFonts w:ascii="宋体" w:hAnsi="宋体"/>
                <w:szCs w:val="22"/>
                <w:highlight w:val="none"/>
              </w:rPr>
              <w:t xml:space="preserve">3</w:t>
            </w:r>
            <w:r>
              <w:rPr>
                <w:rFonts w:hint="eastAsia" w:ascii="宋体" w:hAnsi="宋体"/>
                <w:szCs w:val="22"/>
                <w:highlight w:val="none"/>
              </w:rPr>
              <w:t xml:space="preserve">.00分</w:t>
            </w:r>
            <w:r>
              <w:rPr>
                <w:rFonts w:ascii="宋体" w:hAnsi="宋体"/>
                <w:szCs w:val="22"/>
                <w:highlight w:val="none"/>
              </w:rPr>
            </w:r>
            <w:r/>
          </w:p>
        </w:tc>
        <w:tc>
          <w:tcPr>
            <w:tcW w:w="5262" w:type="dxa"/>
            <w:vAlign w:val="center"/>
            <w:textDirection w:val="lrTb"/>
            <w:noWrap w:val="false"/>
          </w:tcPr>
          <w:p>
            <w:pPr>
              <w:pStyle w:val="664"/>
              <w:jc w:val="left"/>
              <w:rPr>
                <w:rFonts w:hint="eastAsia" w:ascii="宋体" w:hAnsi="宋体"/>
                <w:highlight w:val="none"/>
              </w:rPr>
            </w:pPr>
            <w:r>
              <w:rPr>
                <w:rFonts w:hint="eastAsia" w:ascii="宋体" w:hAnsi="宋体"/>
                <w:highlight w:val="none"/>
              </w:rPr>
              <w:t xml:space="preserve">根据采购文件“第四章 采购需求”中“六、商务要求6、安全责任措施”制定方案。①方案完全满足采购需求，结构严谨，内容完整详实，能够针对采购项目内容要求而细化制定，整个方案语言表述准确清晰，优于采购需求的得</w:t>
            </w:r>
            <w:r>
              <w:rPr>
                <w:rFonts w:ascii="宋体" w:hAnsi="宋体"/>
                <w:highlight w:val="none"/>
              </w:rPr>
              <w:t xml:space="preserve">3</w:t>
            </w:r>
            <w:r>
              <w:rPr>
                <w:rFonts w:hint="eastAsia" w:ascii="宋体" w:hAnsi="宋体"/>
                <w:highlight w:val="none"/>
              </w:rPr>
              <w:t xml:space="preserve">分；②方案基本满足采购需求，结构较严谨，内容较完整详实，能够针对采购项目内容要求而细化制定，整个方案语言表述较准确清晰的得</w:t>
            </w:r>
            <w:r>
              <w:rPr>
                <w:rFonts w:ascii="宋体" w:hAnsi="宋体"/>
                <w:highlight w:val="none"/>
              </w:rPr>
              <w:t xml:space="preserve">2</w:t>
            </w:r>
            <w:r>
              <w:rPr>
                <w:rFonts w:hint="eastAsia" w:ascii="宋体" w:hAnsi="宋体"/>
                <w:highlight w:val="none"/>
              </w:rPr>
              <w:t xml:space="preserve">分；③方案内容笼统，没有针对本项目细化制定，通过后期优化调整能够实现采购需求的得</w:t>
            </w:r>
            <w:r>
              <w:rPr>
                <w:rFonts w:ascii="宋体" w:hAnsi="宋体"/>
                <w:highlight w:val="none"/>
              </w:rPr>
              <w:t xml:space="preserve">1</w:t>
            </w:r>
            <w:r>
              <w:rPr>
                <w:rFonts w:hint="eastAsia" w:ascii="宋体" w:hAnsi="宋体"/>
                <w:highlight w:val="none"/>
              </w:rPr>
              <w:t xml:space="preserve">分；没有内容不得分。</w:t>
            </w:r>
            <w:r>
              <w:rPr>
                <w:rFonts w:hint="eastAsia" w:ascii="宋体" w:hAnsi="宋体"/>
                <w:highlight w:val="none"/>
              </w:rPr>
            </w:r>
            <w:r/>
          </w:p>
        </w:tc>
      </w:tr>
    </w:tbl>
    <w:p>
      <w:pPr>
        <w:pStyle w:val="664"/>
        <w:spacing w:line="400" w:lineRule="exact"/>
        <w:rPr>
          <w:rFonts w:hint="eastAsia" w:ascii="宋体" w:hAnsi="宋体" w:cs="宋体"/>
          <w:sz w:val="24"/>
          <w:highlight w:val="none"/>
        </w:rPr>
      </w:pPr>
      <w:r/>
      <w:bookmarkEnd w:id="280"/>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评标委员会按照本办法规定推荐中标候选人，并形成评标报告。</w:t>
      </w:r>
      <w:r>
        <w:rPr>
          <w:rFonts w:hint="eastAsia" w:ascii="宋体" w:hAnsi="宋体" w:cs="宋体"/>
          <w:sz w:val="24"/>
          <w:highlight w:val="none"/>
        </w:rPr>
      </w:r>
      <w:r/>
    </w:p>
    <w:p>
      <w:pPr>
        <w:pStyle w:val="664"/>
        <w:spacing w:line="400" w:lineRule="exact"/>
        <w:rPr>
          <w:rFonts w:hint="eastAsia" w:eastAsia="仿宋_GB2312"/>
          <w:b/>
          <w:sz w:val="24"/>
          <w:highlight w:val="none"/>
        </w:rPr>
      </w:pPr>
      <w:r>
        <w:rPr>
          <w:rFonts w:hint="eastAsia" w:eastAsia="仿宋_GB2312"/>
          <w:b/>
          <w:sz w:val="24"/>
          <w:highlight w:val="none"/>
        </w:rPr>
        <w:t xml:space="preserve">（四）政府采购政策功能落实</w:t>
      </w:r>
      <w:r>
        <w:rPr>
          <w:rFonts w:hint="eastAsia" w:eastAsia="仿宋_GB2312"/>
          <w:b/>
          <w:sz w:val="24"/>
          <w:highlight w:val="none"/>
        </w:rPr>
      </w:r>
      <w:r/>
    </w:p>
    <w:p>
      <w:pPr>
        <w:pStyle w:val="664"/>
        <w:spacing w:line="500" w:lineRule="exact"/>
        <w:rPr>
          <w:rFonts w:hint="eastAsia"/>
          <w:b/>
          <w:sz w:val="24"/>
          <w:highlight w:val="none"/>
        </w:rPr>
      </w:pPr>
      <w:r>
        <w:rPr>
          <w:rFonts w:hint="eastAsia" w:eastAsia="仿宋_GB2312"/>
          <w:b/>
          <w:bCs/>
          <w:sz w:val="24"/>
          <w:highlight w:val="none"/>
        </w:rPr>
        <w:t xml:space="preserve">本项目落实的政府采购政策对应以下序号为</w:t>
      </w:r>
      <w:r>
        <w:rPr>
          <w:rFonts w:hint="eastAsia" w:eastAsia="仿宋_GB2312"/>
          <w:b/>
          <w:bCs/>
          <w:sz w:val="24"/>
          <w:highlight w:val="none"/>
          <w:u w:val="single"/>
        </w:rPr>
        <w:t xml:space="preserve">1、2、3、4</w:t>
      </w:r>
      <w:r>
        <w:rPr>
          <w:rFonts w:hint="eastAsia"/>
          <w:b/>
          <w:sz w:val="24"/>
          <w:highlight w:val="none"/>
        </w:rPr>
      </w:r>
      <w:r/>
    </w:p>
    <w:p>
      <w:pPr>
        <w:pStyle w:val="664"/>
        <w:numPr>
          <w:ilvl w:val="0"/>
          <w:numId w:val="9"/>
        </w:numPr>
        <w:ind w:firstLine="480"/>
        <w:spacing w:line="460" w:lineRule="exact"/>
        <w:rPr>
          <w:rFonts w:hint="eastAsia" w:cs="仿宋_GB2312"/>
          <w:sz w:val="24"/>
          <w:highlight w:val="none"/>
        </w:rPr>
      </w:pPr>
      <w:r>
        <w:rPr>
          <w:rFonts w:hint="eastAsia" w:cs="仿宋_GB2312"/>
          <w:sz w:val="24"/>
          <w:highlight w:val="none"/>
        </w:rPr>
        <w:t xml:space="preserve">采购本国货物、工程和服务</w:t>
      </w:r>
      <w:r>
        <w:rPr>
          <w:rFonts w:hint="eastAsia" w:cs="仿宋_GB2312"/>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政府采购应当采购本国货物、工程和服务，但有《中华人民共和国政府采购法》第十条规定情形的除外。</w:t>
      </w:r>
      <w:r>
        <w:rPr>
          <w:rFonts w:cs="仿宋_GB2312"/>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2、</w:t>
      </w:r>
      <w:r>
        <w:rPr>
          <w:rFonts w:cs="仿宋_GB2312"/>
          <w:sz w:val="24"/>
          <w:highlight w:val="none"/>
        </w:rPr>
        <w:t xml:space="preserve">中小企业政策</w:t>
      </w:r>
      <w:r>
        <w:rPr>
          <w:rFonts w:cs="仿宋_GB2312"/>
          <w:sz w:val="24"/>
          <w:highlight w:val="none"/>
        </w:rPr>
      </w:r>
      <w:r/>
    </w:p>
    <w:p>
      <w:pPr>
        <w:pStyle w:val="664"/>
        <w:ind w:firstLine="480"/>
        <w:spacing w:line="460" w:lineRule="exact"/>
        <w:rPr>
          <w:rFonts w:hint="eastAsia"/>
          <w:sz w:val="24"/>
          <w:highlight w:val="none"/>
        </w:rPr>
      </w:pPr>
      <w:r>
        <w:rPr>
          <w:rFonts w:hint="eastAsia"/>
          <w:sz w:val="24"/>
          <w:highlight w:val="none"/>
        </w:rPr>
        <w:t xml:space="preserve">本项目按以下第</w:t>
      </w:r>
      <w:r>
        <w:rPr>
          <w:rFonts w:hint="eastAsia"/>
          <w:b/>
          <w:bCs/>
          <w:sz w:val="24"/>
          <w:highlight w:val="none"/>
          <w:u w:val="single"/>
        </w:rPr>
        <w:t xml:space="preserve">  2  </w:t>
      </w:r>
      <w:r>
        <w:rPr>
          <w:rFonts w:hint="eastAsia"/>
          <w:sz w:val="24"/>
          <w:highlight w:val="none"/>
        </w:rPr>
        <w:t xml:space="preserve">种政策确定本项目落实的中小企业政策：</w:t>
      </w:r>
      <w:r>
        <w:rPr>
          <w:rFonts w:hint="eastAsia"/>
          <w:sz w:val="24"/>
          <w:highlight w:val="none"/>
        </w:rPr>
      </w:r>
      <w:r/>
    </w:p>
    <w:p>
      <w:pPr>
        <w:pStyle w:val="664"/>
        <w:ind w:firstLine="480"/>
        <w:spacing w:line="460" w:lineRule="exact"/>
        <w:rPr>
          <w:sz w:val="24"/>
          <w:highlight w:val="none"/>
        </w:rPr>
      </w:pPr>
      <w:r>
        <w:rPr>
          <w:rFonts w:hint="eastAsia"/>
          <w:sz w:val="24"/>
          <w:highlight w:val="none"/>
        </w:rPr>
        <w:t xml:space="preserve">（1）本项目专门面向中小企业（含监狱企业、残疾人福利企业）采购。</w:t>
      </w:r>
      <w:r>
        <w:rPr>
          <w:sz w:val="24"/>
          <w:highlight w:val="none"/>
        </w:rPr>
      </w:r>
      <w:r/>
    </w:p>
    <w:p>
      <w:pPr>
        <w:pStyle w:val="664"/>
        <w:ind w:firstLine="480"/>
        <w:spacing w:line="460" w:lineRule="exact"/>
        <w:rPr>
          <w:sz w:val="24"/>
          <w:highlight w:val="none"/>
        </w:rPr>
      </w:pPr>
      <w:r>
        <w:rPr>
          <w:rFonts w:hint="eastAsia"/>
          <w:sz w:val="24"/>
          <w:highlight w:val="none"/>
        </w:rPr>
        <w:t xml:space="preserve">（2）</w:t>
      </w:r>
      <w:r>
        <w:rPr>
          <w:rFonts w:hint="eastAsia" w:cs="仿宋_GB2312"/>
          <w:sz w:val="24"/>
          <w:highlight w:val="none"/>
        </w:rPr>
        <w:t xml:space="preserve">投标人提供的货物符合下列情形的，对小微企业报价给予</w:t>
      </w:r>
      <w:r>
        <w:rPr>
          <w:rFonts w:hint="eastAsia" w:cs="仿宋_GB2312"/>
          <w:sz w:val="24"/>
          <w:highlight w:val="none"/>
          <w:u w:val="single"/>
        </w:rPr>
        <w:t xml:space="preserve">10%</w:t>
      </w:r>
      <w:r>
        <w:rPr>
          <w:rFonts w:hint="eastAsia" w:cs="仿宋_GB2312"/>
          <w:sz w:val="24"/>
          <w:highlight w:val="none"/>
        </w:rPr>
        <w:t xml:space="preserve">的扣除，用扣除后的价格参加评审。</w:t>
      </w:r>
      <w:r>
        <w:rPr>
          <w:sz w:val="24"/>
          <w:highlight w:val="none"/>
        </w:rPr>
      </w:r>
      <w:r/>
    </w:p>
    <w:p>
      <w:pPr>
        <w:pStyle w:val="664"/>
        <w:ind w:firstLine="480"/>
        <w:spacing w:line="440" w:lineRule="exact"/>
        <w:rPr>
          <w:rFonts w:hint="eastAsia" w:cs="仿宋_GB2312"/>
          <w:sz w:val="24"/>
          <w:highlight w:val="none"/>
        </w:rPr>
      </w:pPr>
      <w:r>
        <w:rPr>
          <w:rFonts w:hint="eastAsia" w:cs="仿宋_GB2312"/>
          <w:sz w:val="24"/>
          <w:highlight w:val="none"/>
        </w:rPr>
        <w:t xml:space="preserve">在货物采购项目中，货物由中小企业制造，即货物由中小企业生产且使用该中小企业商号或者注册商标。</w:t>
      </w:r>
      <w:r>
        <w:rPr>
          <w:rFonts w:hint="eastAsia" w:cs="仿宋_GB2312"/>
          <w:sz w:val="24"/>
          <w:highlight w:val="none"/>
        </w:rPr>
      </w:r>
      <w:r/>
    </w:p>
    <w:p>
      <w:pPr>
        <w:pStyle w:val="664"/>
        <w:ind w:firstLine="480"/>
        <w:spacing w:line="460" w:lineRule="exact"/>
        <w:rPr>
          <w:sz w:val="24"/>
          <w:highlight w:val="none"/>
        </w:rPr>
      </w:pPr>
      <w:r>
        <w:rPr>
          <w:rFonts w:hint="eastAsia" w:cs="仿宋_GB2312"/>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none"/>
        </w:rPr>
      </w:r>
      <w:r/>
    </w:p>
    <w:p>
      <w:pPr>
        <w:pStyle w:val="664"/>
        <w:ind w:firstLine="480"/>
        <w:spacing w:line="460" w:lineRule="exact"/>
        <w:rPr>
          <w:sz w:val="24"/>
          <w:highlight w:val="none"/>
        </w:rPr>
      </w:pPr>
      <w:r>
        <w:rPr>
          <w:rFonts w:hint="eastAsia" w:cs="仿宋_GB2312"/>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none"/>
        </w:rPr>
      </w:r>
      <w:r/>
    </w:p>
    <w:p>
      <w:pPr>
        <w:pStyle w:val="664"/>
        <w:ind w:firstLine="480"/>
        <w:spacing w:line="460" w:lineRule="exact"/>
        <w:rPr>
          <w:sz w:val="24"/>
          <w:highlight w:val="none"/>
        </w:rPr>
      </w:pPr>
      <w:r>
        <w:rPr>
          <w:rFonts w:hint="eastAsia" w:cs="仿宋_GB2312"/>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3、政府采购节能产品、环境标志产品</w:t>
      </w:r>
      <w:r>
        <w:rPr>
          <w:rFonts w:cs="仿宋_GB2312"/>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none"/>
        </w:rPr>
      </w:r>
      <w:r/>
    </w:p>
    <w:p>
      <w:pPr>
        <w:pStyle w:val="664"/>
        <w:ind w:firstLine="480"/>
        <w:spacing w:line="460" w:lineRule="exact"/>
        <w:rPr>
          <w:rFonts w:eastAsia="宋体" w:cs="仿宋_GB2312"/>
          <w:b/>
          <w:bCs/>
          <w:sz w:val="24"/>
          <w:highlight w:val="none"/>
          <w:lang w:val="en-US" w:eastAsia="zh-CN"/>
        </w:rPr>
      </w:pPr>
      <w:r>
        <w:rPr>
          <w:rFonts w:hint="eastAsia" w:cs="仿宋_GB2312"/>
          <w:b/>
          <w:bCs/>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eastAsia="宋体" w:cs="仿宋_GB2312"/>
          <w:b/>
          <w:bCs/>
          <w:sz w:val="24"/>
          <w:highlight w:val="none"/>
          <w:lang w:val="en-US" w:eastAsia="zh-CN"/>
        </w:rPr>
      </w:r>
      <w:r/>
    </w:p>
    <w:p>
      <w:pPr>
        <w:pStyle w:val="664"/>
        <w:ind w:firstLine="480"/>
        <w:spacing w:line="460" w:lineRule="exact"/>
        <w:rPr>
          <w:rFonts w:cs="仿宋_GB2312"/>
          <w:sz w:val="24"/>
          <w:highlight w:val="none"/>
        </w:rPr>
      </w:pPr>
      <w:r>
        <w:rPr>
          <w:rFonts w:hint="eastAsia" w:cs="仿宋_GB2312"/>
          <w:sz w:val="24"/>
          <w:highlight w:val="none"/>
        </w:rPr>
        <w:t xml:space="preserve">（3）采购人拟采购的产品属于优先采购的节能环保品目清单范围的，按以下条件优先采购：</w:t>
      </w:r>
      <w:r>
        <w:rPr>
          <w:rFonts w:cs="仿宋_GB2312"/>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采用综合评分法的项目，对提供有效节能环保证书的投标人加分。</w:t>
      </w:r>
      <w:r>
        <w:rPr>
          <w:rFonts w:cs="仿宋_GB2312"/>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4、商品包装、快递包装政府采购需求标准（试行）</w:t>
      </w:r>
      <w:r>
        <w:rPr>
          <w:rFonts w:cs="仿宋_GB2312"/>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none"/>
        </w:rPr>
      </w:r>
      <w:r/>
    </w:p>
    <w:p>
      <w:pPr>
        <w:pStyle w:val="664"/>
        <w:ind w:firstLine="480"/>
        <w:spacing w:line="460" w:lineRule="exact"/>
        <w:rPr>
          <w:rFonts w:cs="仿宋_GB2312"/>
          <w:sz w:val="24"/>
          <w:highlight w:val="none"/>
        </w:rPr>
      </w:pPr>
      <w:r>
        <w:rPr>
          <w:rFonts w:hint="eastAsia" w:cs="仿宋_GB2312"/>
          <w:sz w:val="24"/>
          <w:highlight w:val="none"/>
        </w:rPr>
        <w:t xml:space="preserve">5、绿色数据中心政府采购需求标准（试行）</w:t>
      </w:r>
      <w:r>
        <w:rPr>
          <w:rFonts w:cs="仿宋_GB2312"/>
          <w:sz w:val="24"/>
          <w:highlight w:val="none"/>
        </w:rPr>
      </w:r>
      <w:r/>
    </w:p>
    <w:p>
      <w:pPr>
        <w:pStyle w:val="664"/>
        <w:ind w:firstLine="480"/>
        <w:spacing w:line="460" w:lineRule="exact"/>
        <w:rPr>
          <w:rFonts w:hint="eastAsia"/>
          <w:highlight w:val="none"/>
        </w:rPr>
      </w:pPr>
      <w:r>
        <w:rPr>
          <w:rFonts w:hint="eastAsia" w:cs="仿宋_GB2312"/>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highlight w:val="none"/>
        </w:rPr>
      </w:r>
      <w:r/>
    </w:p>
    <w:p>
      <w:pPr>
        <w:pStyle w:val="664"/>
        <w:rPr>
          <w:rFonts w:hint="eastAsia"/>
          <w:highlight w:val="none"/>
        </w:rPr>
      </w:pPr>
      <w:r>
        <w:rPr>
          <w:rFonts w:hint="eastAsia"/>
          <w:highlight w:val="none"/>
        </w:rPr>
      </w:r>
      <w:r/>
    </w:p>
    <w:p>
      <w:pPr>
        <w:pStyle w:val="664"/>
        <w:rPr>
          <w:rFonts w:hint="eastAsia"/>
          <w:highlight w:val="none"/>
        </w:rPr>
      </w:pPr>
      <w:r>
        <w:rPr>
          <w:rFonts w:hint="eastAsia"/>
          <w:highlight w:val="none"/>
        </w:rPr>
      </w:r>
      <w:r/>
    </w:p>
    <w:p>
      <w:pPr>
        <w:pStyle w:val="780"/>
        <w:rPr>
          <w:rFonts w:hint="eastAsia" w:ascii="Times New Roman" w:hAnsi="Times New Roman"/>
          <w:highlight w:val="none"/>
        </w:rPr>
      </w:pPr>
      <w:r>
        <w:rPr>
          <w:rFonts w:hint="eastAsia" w:ascii="Times New Roman" w:hAnsi="Times New Roman"/>
          <w:highlight w:val="none"/>
        </w:rPr>
      </w:r>
      <w:r/>
    </w:p>
    <w:p>
      <w:pPr>
        <w:pStyle w:val="745"/>
        <w:rPr>
          <w:rFonts w:ascii="Times New Roman" w:hAnsi="Times New Roman"/>
          <w:highlight w:val="none"/>
        </w:rPr>
      </w:pPr>
      <w:r>
        <w:rPr>
          <w:rFonts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ascii="Times New Roman" w:hAnsi="Times New Roman"/>
          <w:highlight w:val="none"/>
        </w:rPr>
      </w:pPr>
      <w:r>
        <w:rPr>
          <w:rFonts w:ascii="Times New Roman" w:hAnsi="Times New Roman"/>
          <w:highlight w:val="none"/>
        </w:rPr>
      </w:r>
      <w:r/>
    </w:p>
    <w:p>
      <w:pPr>
        <w:pStyle w:val="745"/>
        <w:rPr>
          <w:rFonts w:ascii="Times New Roman" w:hAnsi="Times New Roman"/>
          <w:highlight w:val="none"/>
        </w:rPr>
      </w:pPr>
      <w:r>
        <w:rPr>
          <w:rFonts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rPr>
          <w:rFonts w:hint="eastAsia" w:ascii="Times New Roman" w:hAnsi="Times New Roman"/>
          <w:highlight w:val="none"/>
        </w:rPr>
      </w:pPr>
      <w:r>
        <w:rPr>
          <w:rFonts w:hint="eastAsia" w:ascii="Times New Roman" w:hAnsi="Times New Roman"/>
          <w:highlight w:val="none"/>
        </w:rPr>
      </w:r>
      <w:r/>
    </w:p>
    <w:p>
      <w:pPr>
        <w:pStyle w:val="745"/>
        <w:ind w:firstLine="0"/>
        <w:rPr>
          <w:rFonts w:hint="eastAsia" w:ascii="Times New Roman" w:hAnsi="Times New Roman"/>
          <w:highlight w:val="none"/>
        </w:rPr>
      </w:pPr>
      <w:r>
        <w:rPr>
          <w:rFonts w:hint="eastAsia" w:ascii="Times New Roman" w:hAnsi="Times New Roman"/>
          <w:highlight w:val="none"/>
        </w:rPr>
      </w:r>
      <w:r/>
    </w:p>
    <w:p>
      <w:pPr>
        <w:pStyle w:val="664"/>
        <w:rPr>
          <w:rFonts w:hint="eastAsia"/>
          <w:highlight w:val="none"/>
        </w:rPr>
      </w:pPr>
      <w:r>
        <w:rPr>
          <w:rFonts w:hint="eastAsia"/>
          <w:highlight w:val="none"/>
        </w:rPr>
      </w:r>
      <w:r/>
    </w:p>
    <w:p>
      <w:pPr>
        <w:pStyle w:val="664"/>
        <w:rPr>
          <w:rFonts w:hint="eastAsia"/>
          <w:highlight w:val="none"/>
        </w:rPr>
      </w:pPr>
      <w:r>
        <w:rPr>
          <w:rFonts w:hint="eastAsia"/>
          <w:highlight w:val="none"/>
        </w:rPr>
      </w:r>
      <w:r/>
    </w:p>
    <w:p>
      <w:pPr>
        <w:pStyle w:val="664"/>
        <w:rPr>
          <w:rFonts w:hint="eastAsia"/>
          <w:highlight w:val="none"/>
        </w:rPr>
      </w:pPr>
      <w:r>
        <w:rPr>
          <w:rFonts w:hint="eastAsia"/>
          <w:highlight w:val="none"/>
        </w:rPr>
      </w:r>
      <w:r/>
    </w:p>
    <w:p>
      <w:pPr>
        <w:pStyle w:val="665"/>
        <w:rPr>
          <w:rFonts w:hint="eastAsia" w:ascii="Times New Roman" w:eastAsia="黑体"/>
          <w:bCs/>
          <w:sz w:val="44"/>
          <w:highlight w:val="none"/>
        </w:rPr>
      </w:pPr>
      <w:r/>
      <w:bookmarkStart w:id="281" w:name="_Toc17416"/>
      <w:r/>
      <w:bookmarkStart w:id="282" w:name="_Toc6994"/>
      <w:r/>
      <w:bookmarkStart w:id="283" w:name="_Toc5555"/>
      <w:r>
        <w:rPr>
          <w:rFonts w:hint="eastAsia" w:ascii="Times New Roman" w:eastAsia="黑体"/>
          <w:bCs/>
          <w:sz w:val="44"/>
          <w:highlight w:val="none"/>
        </w:rPr>
        <w:t xml:space="preserve">第六章  投标</w:t>
      </w:r>
      <w:bookmarkEnd w:id="263"/>
      <w:r/>
      <w:bookmarkEnd w:id="264"/>
      <w:r/>
      <w:bookmarkEnd w:id="265"/>
      <w:r>
        <w:rPr>
          <w:rFonts w:hint="eastAsia" w:ascii="Times New Roman" w:eastAsia="黑体"/>
          <w:bCs/>
          <w:sz w:val="44"/>
          <w:highlight w:val="none"/>
        </w:rPr>
        <w:t xml:space="preserve">文件格式</w:t>
      </w:r>
      <w:bookmarkEnd w:id="281"/>
      <w:r/>
      <w:bookmarkEnd w:id="282"/>
      <w:r/>
      <w:bookmarkEnd w:id="283"/>
      <w:r>
        <w:rPr>
          <w:rFonts w:hint="eastAsia" w:ascii="Times New Roman" w:eastAsia="黑体"/>
          <w:bCs/>
          <w:sz w:val="44"/>
          <w:highlight w:val="none"/>
        </w:rPr>
        <w:t xml:space="preserve"> </w:t>
      </w:r>
      <w:r>
        <w:rPr>
          <w:rFonts w:hint="eastAsia" w:ascii="Times New Roman" w:eastAsia="黑体"/>
          <w:bCs/>
          <w:sz w:val="44"/>
          <w:highlight w:val="none"/>
        </w:rPr>
      </w:r>
      <w:r/>
    </w:p>
    <w:p>
      <w:pPr>
        <w:pStyle w:val="664"/>
        <w:jc w:val="center"/>
        <w:rPr>
          <w:rFonts w:hint="eastAsia"/>
          <w:b/>
          <w:sz w:val="72"/>
          <w:highlight w:val="none"/>
        </w:rPr>
      </w:pPr>
      <w:r/>
      <w:bookmarkStart w:id="284" w:name="_Toc49090576"/>
      <w:r/>
      <w:bookmarkStart w:id="285" w:name="_Toc26554094"/>
      <w:r/>
      <w:bookmarkStart w:id="286" w:name="_Toc120614282"/>
      <w:r/>
      <w:bookmarkStart w:id="287" w:name="_Hlt26955039"/>
      <w:r/>
      <w:bookmarkEnd w:id="287"/>
      <w:r/>
      <w:bookmarkStart w:id="288" w:name="_Hlt26671244"/>
      <w:r/>
      <w:bookmarkEnd w:id="288"/>
      <w:r>
        <w:rPr>
          <w:rFonts w:hint="eastAsia"/>
          <w:b/>
          <w:sz w:val="72"/>
          <w:highlight w:val="none"/>
        </w:rPr>
      </w:r>
      <w:r/>
    </w:p>
    <w:p>
      <w:pPr>
        <w:pStyle w:val="664"/>
        <w:jc w:val="center"/>
        <w:rPr>
          <w:rFonts w:hint="eastAsia"/>
          <w:b/>
          <w:sz w:val="72"/>
          <w:highlight w:val="none"/>
        </w:rPr>
      </w:pPr>
      <w:r>
        <w:rPr>
          <w:rFonts w:hint="eastAsia"/>
          <w:b/>
          <w:sz w:val="72"/>
          <w:highlight w:val="none"/>
        </w:rPr>
        <w:t xml:space="preserve">投  标  文  件</w:t>
      </w:r>
      <w:r>
        <w:rPr>
          <w:rFonts w:hint="eastAsia"/>
          <w:b/>
          <w:sz w:val="72"/>
          <w:highlight w:val="none"/>
        </w:rPr>
      </w:r>
      <w:r/>
    </w:p>
    <w:p>
      <w:pPr>
        <w:pStyle w:val="664"/>
        <w:jc w:val="center"/>
        <w:rPr>
          <w:rFonts w:hint="eastAsia"/>
          <w:b/>
          <w:sz w:val="72"/>
          <w:highlight w:val="none"/>
        </w:rPr>
      </w:pPr>
      <w:r>
        <w:rPr>
          <w:rFonts w:hint="eastAsia"/>
          <w:b/>
          <w:sz w:val="72"/>
          <w:highlight w:val="none"/>
        </w:rPr>
      </w:r>
      <w:r/>
    </w:p>
    <w:p>
      <w:pPr>
        <w:pStyle w:val="664"/>
        <w:jc w:val="center"/>
        <w:rPr>
          <w:rFonts w:hint="eastAsia"/>
          <w:b/>
          <w:sz w:val="72"/>
          <w:highlight w:val="none"/>
        </w:rPr>
      </w:pPr>
      <w:r>
        <w:rPr>
          <w:rFonts w:hint="eastAsia"/>
          <w:b/>
          <w:sz w:val="72"/>
          <w:highlight w:val="none"/>
        </w:rPr>
      </w:r>
      <w:r/>
    </w:p>
    <w:p>
      <w:pPr>
        <w:pStyle w:val="664"/>
        <w:jc w:val="center"/>
        <w:rPr>
          <w:rFonts w:hint="eastAsia"/>
          <w:b/>
          <w:sz w:val="36"/>
          <w:highlight w:val="none"/>
        </w:rPr>
      </w:pPr>
      <w:r>
        <w:rPr>
          <w:rFonts w:hint="eastAsia"/>
          <w:b/>
          <w:sz w:val="36"/>
          <w:highlight w:val="none"/>
        </w:rPr>
      </w:r>
      <w:r/>
    </w:p>
    <w:p>
      <w:pPr>
        <w:pStyle w:val="664"/>
        <w:jc w:val="center"/>
        <w:rPr>
          <w:rFonts w:hint="eastAsia"/>
          <w:b/>
          <w:sz w:val="36"/>
          <w:highlight w:val="none"/>
        </w:rPr>
      </w:pPr>
      <w:r>
        <w:rPr>
          <w:rFonts w:hint="eastAsia"/>
          <w:b/>
          <w:sz w:val="36"/>
          <w:highlight w:val="none"/>
        </w:rPr>
      </w:r>
      <w:r/>
    </w:p>
    <w:p>
      <w:pPr>
        <w:pStyle w:val="664"/>
        <w:jc w:val="center"/>
        <w:rPr>
          <w:rFonts w:hint="eastAsia"/>
          <w:b/>
          <w:sz w:val="36"/>
          <w:highlight w:val="none"/>
        </w:rPr>
      </w:pPr>
      <w:r>
        <w:rPr>
          <w:rFonts w:hint="eastAsia"/>
          <w:b/>
          <w:sz w:val="36"/>
          <w:highlight w:val="none"/>
        </w:rPr>
      </w:r>
      <w:r/>
    </w:p>
    <w:p>
      <w:pPr>
        <w:pStyle w:val="664"/>
        <w:ind w:firstLine="1084"/>
        <w:rPr>
          <w:rFonts w:hint="eastAsia"/>
          <w:b/>
          <w:sz w:val="36"/>
          <w:highlight w:val="none"/>
        </w:rPr>
      </w:pPr>
      <w:r>
        <w:rPr>
          <w:rFonts w:hint="eastAsia"/>
          <w:b/>
          <w:sz w:val="36"/>
          <w:highlight w:val="none"/>
        </w:rPr>
        <w:t xml:space="preserve">项 目 名 称：</w:t>
      </w:r>
      <w:r>
        <w:rPr>
          <w:rFonts w:hint="eastAsia"/>
          <w:b/>
          <w:sz w:val="36"/>
          <w:highlight w:val="none"/>
          <w:u w:val="single"/>
        </w:rPr>
        <w:t xml:space="preserve">               </w:t>
      </w:r>
      <w:r>
        <w:rPr>
          <w:rFonts w:hint="eastAsia"/>
          <w:b/>
          <w:sz w:val="36"/>
          <w:highlight w:val="none"/>
        </w:rPr>
      </w:r>
      <w:r/>
    </w:p>
    <w:p>
      <w:pPr>
        <w:pStyle w:val="664"/>
        <w:ind w:firstLine="1084"/>
        <w:rPr>
          <w:rFonts w:hint="eastAsia"/>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rPr>
          <w:rFonts w:hint="eastAsia"/>
          <w:b/>
          <w:sz w:val="36"/>
          <w:highlight w:val="none"/>
          <w:u w:val="single"/>
        </w:rPr>
      </w:r>
      <w:r/>
    </w:p>
    <w:p>
      <w:pPr>
        <w:pStyle w:val="664"/>
        <w:rPr>
          <w:rFonts w:hint="eastAsia"/>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rPr>
          <w:rFonts w:hint="eastAsia"/>
          <w:b/>
          <w:sz w:val="36"/>
          <w:highlight w:val="none"/>
          <w:u w:val="single"/>
        </w:rPr>
      </w:r>
      <w:r/>
    </w:p>
    <w:p>
      <w:pPr>
        <w:pStyle w:val="664"/>
        <w:rPr>
          <w:rFonts w:hint="eastAsia"/>
          <w:b/>
          <w:sz w:val="36"/>
          <w:highlight w:val="none"/>
          <w:u w:val="single"/>
        </w:rPr>
      </w:pPr>
      <w:r>
        <w:rPr>
          <w:rFonts w:hint="eastAsia"/>
          <w:b/>
          <w:sz w:val="36"/>
          <w:highlight w:val="none"/>
        </w:rPr>
        <w:t xml:space="preserve">      日      期 ：</w:t>
      </w:r>
      <w:r>
        <w:rPr>
          <w:rFonts w:hint="eastAsia"/>
          <w:b/>
          <w:sz w:val="36"/>
          <w:highlight w:val="none"/>
          <w:u w:val="single"/>
        </w:rPr>
        <w:t xml:space="preserve">               </w:t>
      </w:r>
      <w:r>
        <w:rPr>
          <w:rFonts w:hint="eastAsia"/>
          <w:b/>
          <w:sz w:val="36"/>
          <w:highlight w:val="none"/>
          <w:u w:val="single"/>
        </w:rPr>
      </w:r>
      <w:r/>
    </w:p>
    <w:p>
      <w:pPr>
        <w:pStyle w:val="664"/>
        <w:jc w:val="center"/>
        <w:spacing w:line="440" w:lineRule="exact"/>
        <w:rPr>
          <w:rFonts w:hint="eastAsia"/>
          <w:b/>
          <w:bCs/>
          <w:sz w:val="32"/>
          <w:szCs w:val="32"/>
          <w:highlight w:val="none"/>
        </w:rPr>
      </w:pPr>
      <w:r>
        <w:rPr>
          <w:rFonts w:hint="eastAsia"/>
          <w:b/>
          <w:bCs/>
          <w:sz w:val="32"/>
          <w:szCs w:val="32"/>
          <w:highlight w:val="none"/>
        </w:rPr>
      </w:r>
      <w:r/>
    </w:p>
    <w:p>
      <w:pPr>
        <w:pStyle w:val="664"/>
        <w:spacing w:line="440" w:lineRule="exact"/>
        <w:rPr>
          <w:highlight w:val="none"/>
        </w:rPr>
      </w:pPr>
      <w:r>
        <w:rPr>
          <w:highlight w:val="none"/>
        </w:rPr>
      </w:r>
      <w:r/>
    </w:p>
    <w:p>
      <w:pPr>
        <w:pStyle w:val="664"/>
        <w:ind w:firstLine="1084"/>
        <w:rPr>
          <w:b/>
          <w:bCs/>
          <w:sz w:val="32"/>
          <w:szCs w:val="32"/>
          <w:highlight w:val="none"/>
        </w:rPr>
      </w:pPr>
      <w:r>
        <w:rPr>
          <w:b/>
          <w:sz w:val="36"/>
          <w:highlight w:val="none"/>
          <w:u w:val="single"/>
        </w:rPr>
        <w:br w:type="page" w:clear="all"/>
      </w:r>
      <w:r>
        <w:rPr>
          <w:b/>
          <w:bCs/>
          <w:sz w:val="32"/>
          <w:szCs w:val="32"/>
          <w:highlight w:val="none"/>
        </w:rPr>
      </w:r>
      <w:r/>
    </w:p>
    <w:p>
      <w:pPr>
        <w:pStyle w:val="664"/>
        <w:jc w:val="center"/>
        <w:spacing w:line="440" w:lineRule="exact"/>
        <w:rPr>
          <w:rFonts w:hint="eastAsia"/>
          <w:b/>
          <w:bCs/>
          <w:sz w:val="32"/>
          <w:szCs w:val="32"/>
          <w:highlight w:val="none"/>
        </w:rPr>
      </w:pPr>
      <w:r>
        <w:rPr>
          <w:rFonts w:hint="eastAsia"/>
          <w:b/>
          <w:bCs/>
          <w:sz w:val="32"/>
          <w:szCs w:val="32"/>
          <w:highlight w:val="none"/>
        </w:rPr>
        <w:t xml:space="preserve">投标文件目录</w:t>
      </w:r>
      <w:r>
        <w:rPr>
          <w:rFonts w:hint="eastAsia"/>
          <w:b/>
          <w:bCs/>
          <w:sz w:val="32"/>
          <w:szCs w:val="32"/>
          <w:highlight w:val="none"/>
        </w:rPr>
      </w:r>
      <w:r/>
    </w:p>
    <w:p>
      <w:pPr>
        <w:pStyle w:val="664"/>
        <w:jc w:val="center"/>
        <w:spacing w:line="440" w:lineRule="exact"/>
        <w:rPr>
          <w:rFonts w:hint="eastAsia"/>
          <w:b/>
          <w:bCs/>
          <w:sz w:val="32"/>
          <w:szCs w:val="32"/>
          <w:highlight w:val="none"/>
        </w:rPr>
      </w:pPr>
      <w:r>
        <w:rPr>
          <w:rFonts w:hint="eastAsia"/>
          <w:b/>
          <w:bCs/>
          <w:sz w:val="32"/>
          <w:szCs w:val="32"/>
          <w:highlight w:val="none"/>
        </w:rPr>
      </w:r>
      <w:r/>
    </w:p>
    <w:p>
      <w:pPr>
        <w:pStyle w:val="664"/>
        <w:ind w:firstLine="560"/>
        <w:spacing w:line="600" w:lineRule="exact"/>
        <w:rPr>
          <w:rFonts w:cs="宋体"/>
          <w:sz w:val="28"/>
          <w:szCs w:val="28"/>
          <w:highlight w:val="none"/>
        </w:rPr>
      </w:pPr>
      <w:r>
        <w:rPr>
          <w:rFonts w:hint="eastAsia" w:cs="宋体"/>
          <w:sz w:val="28"/>
          <w:szCs w:val="28"/>
          <w:highlight w:val="none"/>
        </w:rPr>
        <w:t xml:space="preserve">一、投标声明及承诺函</w:t>
      </w:r>
      <w:r>
        <w:rPr>
          <w:rFonts w:cs="宋体"/>
          <w:sz w:val="28"/>
          <w:szCs w:val="28"/>
          <w:highlight w:val="none"/>
        </w:rPr>
      </w:r>
      <w:r/>
    </w:p>
    <w:p>
      <w:pPr>
        <w:pStyle w:val="664"/>
        <w:ind w:firstLine="560"/>
        <w:spacing w:line="600" w:lineRule="exact"/>
        <w:rPr>
          <w:rFonts w:hint="eastAsia" w:cs="宋体"/>
          <w:sz w:val="28"/>
          <w:szCs w:val="28"/>
          <w:highlight w:val="none"/>
        </w:rPr>
      </w:pPr>
      <w:r>
        <w:rPr>
          <w:rFonts w:hint="eastAsia" w:cs="宋体"/>
          <w:sz w:val="28"/>
          <w:szCs w:val="28"/>
          <w:highlight w:val="none"/>
        </w:rPr>
        <w:t xml:space="preserve">二、投标人基本情况</w:t>
      </w:r>
      <w:r>
        <w:rPr>
          <w:rFonts w:hint="eastAsia" w:cs="宋体"/>
          <w:sz w:val="28"/>
          <w:szCs w:val="28"/>
          <w:highlight w:val="none"/>
        </w:rPr>
      </w:r>
      <w:r/>
    </w:p>
    <w:p>
      <w:pPr>
        <w:pStyle w:val="664"/>
        <w:ind w:firstLine="560"/>
        <w:spacing w:line="600" w:lineRule="exact"/>
        <w:rPr>
          <w:rFonts w:hint="eastAsia" w:cs="宋体"/>
          <w:sz w:val="28"/>
          <w:szCs w:val="28"/>
          <w:highlight w:val="none"/>
        </w:rPr>
      </w:pPr>
      <w:r>
        <w:rPr>
          <w:rFonts w:hint="eastAsia" w:cs="宋体"/>
          <w:sz w:val="28"/>
          <w:szCs w:val="28"/>
          <w:highlight w:val="none"/>
        </w:rPr>
        <w:t xml:space="preserve">三、法人授权书</w:t>
      </w:r>
      <w:r>
        <w:rPr>
          <w:rFonts w:hint="eastAsia" w:cs="宋体"/>
          <w:sz w:val="28"/>
          <w:szCs w:val="28"/>
          <w:highlight w:val="none"/>
        </w:rPr>
      </w:r>
      <w:r/>
    </w:p>
    <w:p>
      <w:pPr>
        <w:pStyle w:val="664"/>
        <w:ind w:firstLine="560"/>
        <w:spacing w:line="600" w:lineRule="exact"/>
        <w:rPr>
          <w:rFonts w:hint="eastAsia" w:cs="宋体"/>
          <w:sz w:val="28"/>
          <w:szCs w:val="28"/>
          <w:highlight w:val="none"/>
        </w:rPr>
      </w:pPr>
      <w:r>
        <w:rPr>
          <w:rFonts w:hint="eastAsia" w:cs="宋体"/>
          <w:sz w:val="28"/>
          <w:szCs w:val="28"/>
          <w:highlight w:val="none"/>
        </w:rPr>
        <w:t xml:space="preserve">四、开标一览表</w:t>
      </w:r>
      <w:r>
        <w:rPr>
          <w:rFonts w:hint="eastAsia" w:cs="宋体"/>
          <w:sz w:val="28"/>
          <w:szCs w:val="28"/>
          <w:highlight w:val="none"/>
        </w:rPr>
      </w:r>
      <w:r/>
    </w:p>
    <w:p>
      <w:pPr>
        <w:pStyle w:val="664"/>
        <w:ind w:firstLine="560"/>
        <w:spacing w:line="600" w:lineRule="exact"/>
        <w:rPr>
          <w:rFonts w:cs="宋体"/>
          <w:sz w:val="28"/>
          <w:szCs w:val="28"/>
          <w:highlight w:val="none"/>
        </w:rPr>
      </w:pPr>
      <w:r>
        <w:rPr>
          <w:rFonts w:hint="eastAsia" w:cs="宋体"/>
          <w:sz w:val="28"/>
          <w:szCs w:val="28"/>
          <w:highlight w:val="none"/>
        </w:rPr>
        <w:t xml:space="preserve">五、明细报价表</w:t>
      </w:r>
      <w:r>
        <w:rPr>
          <w:rFonts w:cs="宋体"/>
          <w:sz w:val="28"/>
          <w:szCs w:val="28"/>
          <w:highlight w:val="none"/>
        </w:rPr>
      </w:r>
      <w:r/>
    </w:p>
    <w:p>
      <w:pPr>
        <w:pStyle w:val="664"/>
        <w:ind w:firstLine="560"/>
        <w:spacing w:line="600" w:lineRule="exact"/>
        <w:rPr>
          <w:rFonts w:cs="宋体"/>
          <w:sz w:val="28"/>
          <w:szCs w:val="28"/>
          <w:highlight w:val="none"/>
        </w:rPr>
      </w:pPr>
      <w:r>
        <w:rPr>
          <w:rFonts w:hint="eastAsia" w:cs="宋体"/>
          <w:sz w:val="28"/>
          <w:szCs w:val="28"/>
          <w:highlight w:val="none"/>
        </w:rPr>
        <w:t xml:space="preserve">六、中小企业或残疾人福利性单位声明函</w:t>
      </w:r>
      <w:r>
        <w:rPr>
          <w:rFonts w:cs="宋体"/>
          <w:sz w:val="28"/>
          <w:szCs w:val="28"/>
          <w:highlight w:val="none"/>
        </w:rPr>
      </w:r>
      <w:r/>
    </w:p>
    <w:p>
      <w:pPr>
        <w:pStyle w:val="664"/>
        <w:ind w:firstLine="560"/>
        <w:spacing w:line="600" w:lineRule="exact"/>
        <w:rPr>
          <w:rFonts w:hint="eastAsia" w:cs="宋体"/>
          <w:sz w:val="28"/>
          <w:szCs w:val="28"/>
          <w:highlight w:val="none"/>
        </w:rPr>
      </w:pPr>
      <w:r>
        <w:rPr>
          <w:rFonts w:hint="eastAsia" w:cs="宋体"/>
          <w:sz w:val="28"/>
          <w:szCs w:val="28"/>
          <w:highlight w:val="none"/>
        </w:rPr>
        <w:t xml:space="preserve">七、技术参数响应（响应偏离表）</w:t>
      </w:r>
      <w:r>
        <w:rPr>
          <w:rFonts w:hint="eastAsia" w:cs="宋体"/>
          <w:sz w:val="28"/>
          <w:szCs w:val="28"/>
          <w:highlight w:val="none"/>
        </w:rPr>
      </w:r>
      <w:r/>
    </w:p>
    <w:p>
      <w:pPr>
        <w:pStyle w:val="664"/>
        <w:ind w:firstLine="560"/>
        <w:spacing w:line="600" w:lineRule="exact"/>
        <w:rPr>
          <w:rFonts w:hint="eastAsia" w:cs="宋体"/>
          <w:sz w:val="28"/>
          <w:szCs w:val="28"/>
          <w:highlight w:val="none"/>
        </w:rPr>
      </w:pPr>
      <w:r>
        <w:rPr>
          <w:rFonts w:hint="eastAsia" w:cs="宋体"/>
          <w:sz w:val="28"/>
          <w:szCs w:val="28"/>
          <w:highlight w:val="none"/>
        </w:rPr>
        <w:t xml:space="preserve">八、项目组成员</w:t>
      </w:r>
      <w:r>
        <w:rPr>
          <w:rFonts w:hint="eastAsia" w:cs="宋体"/>
          <w:sz w:val="28"/>
          <w:szCs w:val="28"/>
          <w:highlight w:val="none"/>
        </w:rPr>
      </w:r>
      <w:r/>
    </w:p>
    <w:p>
      <w:pPr>
        <w:pStyle w:val="664"/>
        <w:ind w:firstLine="560"/>
        <w:spacing w:line="600" w:lineRule="exact"/>
        <w:rPr>
          <w:rFonts w:hint="eastAsia" w:cs="宋体"/>
          <w:sz w:val="28"/>
          <w:szCs w:val="28"/>
          <w:highlight w:val="none"/>
        </w:rPr>
      </w:pPr>
      <w:r>
        <w:rPr>
          <w:rFonts w:hint="eastAsia" w:cs="宋体"/>
          <w:sz w:val="28"/>
          <w:szCs w:val="28"/>
          <w:highlight w:val="none"/>
        </w:rPr>
        <w:t xml:space="preserve">九、企业业绩</w:t>
      </w:r>
      <w:r>
        <w:rPr>
          <w:rFonts w:hint="eastAsia" w:cs="宋体"/>
          <w:sz w:val="28"/>
          <w:szCs w:val="28"/>
          <w:highlight w:val="none"/>
        </w:rPr>
      </w:r>
      <w:r/>
    </w:p>
    <w:p>
      <w:pPr>
        <w:pStyle w:val="664"/>
        <w:ind w:firstLine="560"/>
        <w:spacing w:line="600" w:lineRule="exact"/>
        <w:rPr>
          <w:rFonts w:hint="eastAsia" w:cs="宋体"/>
          <w:sz w:val="28"/>
          <w:szCs w:val="28"/>
          <w:highlight w:val="none"/>
        </w:rPr>
      </w:pPr>
      <w:r>
        <w:rPr>
          <w:rFonts w:hint="eastAsia" w:cs="宋体"/>
          <w:sz w:val="28"/>
          <w:szCs w:val="28"/>
          <w:highlight w:val="none"/>
        </w:rPr>
        <w:t xml:space="preserve">十、投标所需其他材料</w:t>
      </w:r>
      <w:r>
        <w:rPr>
          <w:rFonts w:hint="eastAsia" w:cs="宋体"/>
          <w:sz w:val="28"/>
          <w:szCs w:val="28"/>
          <w:highlight w:val="none"/>
        </w:rPr>
      </w:r>
      <w:r/>
    </w:p>
    <w:p>
      <w:pPr>
        <w:pStyle w:val="715"/>
        <w:tabs>
          <w:tab w:val="right" w:pos="8720" w:leader="dot"/>
        </w:tabs>
        <w:rPr>
          <w:rFonts w:ascii="Times New Roman" w:hAnsi="Times New Roman"/>
          <w:caps w:val="0"/>
          <w:highlight w:val="none"/>
          <w:lang w:val="en-US" w:eastAsia="zh-CN"/>
        </w:rPr>
      </w:pPr>
      <w:r>
        <w:rPr>
          <w:rFonts w:ascii="Times New Roman" w:hAnsi="Times New Roman"/>
          <w:caps w:val="0"/>
          <w:highlight w:val="none"/>
          <w:lang w:val="en-US" w:eastAsia="zh-CN"/>
        </w:rPr>
      </w:r>
      <w:r/>
    </w:p>
    <w:p>
      <w:pPr>
        <w:pStyle w:val="664"/>
        <w:ind w:firstLine="480"/>
        <w:spacing w:line="440" w:lineRule="exact"/>
        <w:rPr>
          <w:sz w:val="24"/>
          <w:highlight w:val="none"/>
        </w:rPr>
      </w:pPr>
      <w:r>
        <w:rPr>
          <w:sz w:val="24"/>
          <w:highlight w:val="none"/>
        </w:rPr>
      </w:r>
      <w:r/>
    </w:p>
    <w:p>
      <w:pPr>
        <w:pStyle w:val="664"/>
        <w:ind w:firstLine="480"/>
        <w:spacing w:line="440" w:lineRule="exact"/>
        <w:rPr>
          <w:sz w:val="24"/>
          <w:highlight w:val="none"/>
        </w:rPr>
      </w:pPr>
      <w:r>
        <w:rPr>
          <w:sz w:val="24"/>
          <w:highlight w:val="none"/>
        </w:rPr>
      </w:r>
      <w:r/>
    </w:p>
    <w:p>
      <w:pPr>
        <w:pStyle w:val="664"/>
        <w:ind w:firstLine="480"/>
        <w:spacing w:line="440" w:lineRule="exact"/>
        <w:rPr>
          <w:sz w:val="24"/>
          <w:highlight w:val="none"/>
        </w:rPr>
      </w:pPr>
      <w:r>
        <w:rPr>
          <w:sz w:val="24"/>
          <w:highlight w:val="none"/>
        </w:rPr>
      </w:r>
      <w:r/>
    </w:p>
    <w:p>
      <w:pPr>
        <w:pStyle w:val="664"/>
        <w:ind w:firstLine="480"/>
        <w:spacing w:line="440" w:lineRule="exact"/>
        <w:rPr>
          <w:sz w:val="24"/>
          <w:highlight w:val="none"/>
        </w:rPr>
      </w:pPr>
      <w:r>
        <w:rPr>
          <w:sz w:val="24"/>
          <w:highlight w:val="none"/>
        </w:rPr>
      </w:r>
      <w:r/>
    </w:p>
    <w:p>
      <w:pPr>
        <w:pStyle w:val="664"/>
        <w:ind w:firstLine="480"/>
        <w:spacing w:line="440" w:lineRule="exact"/>
        <w:rPr>
          <w:sz w:val="24"/>
          <w:highlight w:val="none"/>
        </w:rPr>
      </w:pPr>
      <w:r>
        <w:rPr>
          <w:sz w:val="24"/>
          <w:highlight w:val="none"/>
        </w:rPr>
      </w:r>
      <w:r/>
    </w:p>
    <w:p>
      <w:pPr>
        <w:pStyle w:val="784"/>
        <w:rPr>
          <w:highlight w:val="none"/>
        </w:rPr>
      </w:pPr>
      <w:r/>
      <w:bookmarkStart w:id="289" w:name="_Toc23838"/>
      <w:r>
        <w:rPr>
          <w:highlight w:val="none"/>
        </w:rPr>
      </w:r>
      <w:r/>
    </w:p>
    <w:p>
      <w:pPr>
        <w:pStyle w:val="784"/>
        <w:rPr>
          <w:highlight w:val="none"/>
        </w:rPr>
      </w:pPr>
      <w:r>
        <w:rPr>
          <w:highlight w:val="none"/>
        </w:rPr>
      </w:r>
      <w:r/>
    </w:p>
    <w:p>
      <w:pPr>
        <w:pStyle w:val="784"/>
        <w:rPr>
          <w:highlight w:val="none"/>
        </w:rPr>
      </w:pPr>
      <w:r>
        <w:rPr>
          <w:highlight w:val="none"/>
        </w:rPr>
      </w:r>
      <w:r/>
    </w:p>
    <w:p>
      <w:pPr>
        <w:pStyle w:val="784"/>
        <w:rPr>
          <w:highlight w:val="none"/>
        </w:rPr>
      </w:pPr>
      <w:r>
        <w:rPr>
          <w:highlight w:val="none"/>
        </w:rPr>
      </w:r>
      <w:r/>
    </w:p>
    <w:p>
      <w:pPr>
        <w:pStyle w:val="784"/>
        <w:rPr>
          <w:rFonts w:eastAsia="等线"/>
          <w:highlight w:val="none"/>
        </w:rPr>
      </w:pPr>
      <w:r>
        <w:rPr>
          <w:rFonts w:eastAsia="等线"/>
          <w:highlight w:val="none"/>
        </w:rPr>
      </w:r>
      <w:r/>
    </w:p>
    <w:p>
      <w:pPr>
        <w:pStyle w:val="784"/>
        <w:rPr>
          <w:rFonts w:hint="eastAsia" w:eastAsia="等线"/>
          <w:highlight w:val="none"/>
        </w:rPr>
      </w:pPr>
      <w:r>
        <w:rPr>
          <w:rFonts w:hint="eastAsia" w:eastAsia="等线"/>
          <w:highlight w:val="none"/>
        </w:rPr>
      </w:r>
      <w:r/>
    </w:p>
    <w:p>
      <w:pPr>
        <w:pStyle w:val="784"/>
        <w:rPr>
          <w:highlight w:val="none"/>
        </w:rPr>
      </w:pPr>
      <w:r>
        <w:rPr>
          <w:highlight w:val="none"/>
        </w:rPr>
      </w:r>
      <w:r/>
    </w:p>
    <w:p>
      <w:pPr>
        <w:pStyle w:val="784"/>
        <w:rPr>
          <w:rFonts w:eastAsia="等线"/>
          <w:highlight w:val="none"/>
        </w:rPr>
      </w:pPr>
      <w:r>
        <w:rPr>
          <w:rFonts w:eastAsia="等线"/>
          <w:highlight w:val="none"/>
        </w:rPr>
      </w:r>
      <w:r/>
    </w:p>
    <w:p>
      <w:pPr>
        <w:pStyle w:val="784"/>
        <w:rPr>
          <w:rFonts w:eastAsia="等线"/>
          <w:highlight w:val="none"/>
        </w:rPr>
      </w:pPr>
      <w:r>
        <w:rPr>
          <w:rFonts w:eastAsia="等线"/>
          <w:highlight w:val="none"/>
        </w:rPr>
      </w:r>
      <w:r/>
    </w:p>
    <w:p>
      <w:pPr>
        <w:pStyle w:val="784"/>
        <w:rPr>
          <w:rFonts w:eastAsia="等线"/>
          <w:highlight w:val="none"/>
        </w:rPr>
      </w:pPr>
      <w:r>
        <w:rPr>
          <w:rFonts w:eastAsia="等线"/>
          <w:highlight w:val="none"/>
        </w:rPr>
      </w:r>
      <w:r/>
    </w:p>
    <w:p>
      <w:pPr>
        <w:pStyle w:val="784"/>
        <w:rPr>
          <w:rFonts w:hint="eastAsia" w:eastAsia="等线"/>
          <w:highlight w:val="none"/>
        </w:rPr>
      </w:pPr>
      <w:r>
        <w:rPr>
          <w:rFonts w:hint="eastAsia" w:eastAsia="等线"/>
          <w:highlight w:val="none"/>
        </w:rPr>
      </w:r>
      <w:r/>
    </w:p>
    <w:p>
      <w:pPr>
        <w:pStyle w:val="784"/>
        <w:rPr>
          <w:rFonts w:hint="eastAsia" w:eastAsia="等线"/>
          <w:highlight w:val="none"/>
        </w:rPr>
      </w:pPr>
      <w:r>
        <w:rPr>
          <w:rFonts w:hint="eastAsia" w:eastAsia="等线"/>
          <w:highlight w:val="none"/>
        </w:rPr>
      </w:r>
      <w:r/>
    </w:p>
    <w:p>
      <w:pPr>
        <w:pStyle w:val="779"/>
        <w:rPr>
          <w:rFonts w:hint="eastAsia" w:ascii="Times New Roman" w:hAnsi="Times New Roman"/>
          <w:b/>
          <w:sz w:val="32"/>
          <w:szCs w:val="32"/>
          <w:highlight w:val="none"/>
        </w:rPr>
        <w:outlineLvl w:val="2"/>
      </w:pPr>
      <w:r/>
      <w:bookmarkEnd w:id="284"/>
      <w:r/>
      <w:bookmarkEnd w:id="285"/>
      <w:r/>
      <w:bookmarkEnd w:id="286"/>
      <w:r/>
      <w:bookmarkEnd w:id="289"/>
      <w:r/>
      <w:bookmarkStart w:id="290" w:name="_Toc30620"/>
      <w:r/>
      <w:bookmarkStart w:id="291" w:name="_Toc120614284"/>
      <w:r>
        <w:rPr>
          <w:rFonts w:hint="eastAsia" w:ascii="Times New Roman" w:hAnsi="Times New Roman"/>
          <w:b/>
          <w:sz w:val="32"/>
          <w:szCs w:val="32"/>
          <w:highlight w:val="none"/>
        </w:rPr>
        <w:t xml:space="preserve">一、投标声明及承诺函</w:t>
      </w:r>
      <w:bookmarkEnd w:id="290"/>
      <w:r>
        <w:rPr>
          <w:rFonts w:hint="eastAsia" w:ascii="Times New Roman" w:hAnsi="Times New Roman"/>
          <w:b/>
          <w:sz w:val="32"/>
          <w:szCs w:val="32"/>
          <w:highlight w:val="none"/>
        </w:rPr>
      </w:r>
      <w:r/>
    </w:p>
    <w:p>
      <w:pPr>
        <w:pStyle w:val="779"/>
        <w:jc w:val="left"/>
        <w:spacing w:line="500" w:lineRule="exac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rPr>
        <w:t xml:space="preserve">江苏省宿迁市人民检察院、宿迁市楚润数据集团有限公司：</w:t>
      </w:r>
      <w:r>
        <w:rPr>
          <w:rFonts w:ascii="Times New Roman" w:hAnsi="Times New Roman" w:eastAsia="方正仿宋_GBK"/>
          <w:sz w:val="24"/>
          <w:szCs w:val="24"/>
          <w:highlight w:val="none"/>
          <w:u w:val="single"/>
        </w:rPr>
      </w:r>
      <w:r/>
    </w:p>
    <w:p>
      <w:pPr>
        <w:pStyle w:val="77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根据已收到的项目编号为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的</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项目的招标文件，我方在参加本项目招投标活动中，特做出如下承诺：</w:t>
      </w:r>
      <w:r>
        <w:rPr>
          <w:rFonts w:ascii="Times New Roman" w:hAnsi="Times New Roman" w:eastAsia="方正仿宋_GBK"/>
          <w:sz w:val="24"/>
          <w:szCs w:val="24"/>
          <w:highlight w:val="none"/>
        </w:rPr>
      </w:r>
      <w:r/>
    </w:p>
    <w:p>
      <w:pPr>
        <w:pStyle w:val="779"/>
        <w:ind w:firstLine="480"/>
        <w:jc w:val="left"/>
        <w:spacing w:line="500" w:lineRule="exact"/>
        <w:rPr>
          <w:rFonts w:ascii="Times New Roman" w:hAnsi="Times New Roman" w:eastAsia="方正仿宋_GBK"/>
          <w:sz w:val="24"/>
          <w:highlight w:val="none"/>
        </w:rPr>
      </w:pPr>
      <w:r>
        <w:rPr>
          <w:rFonts w:hint="eastAsia" w:ascii="Times New Roman" w:hAnsi="Times New Roman"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rPr>
          <w:rFonts w:ascii="Times New Roman" w:hAnsi="Times New Roman" w:eastAsia="方正仿宋_GBK"/>
          <w:sz w:val="24"/>
          <w:highlight w:val="none"/>
        </w:rPr>
      </w:r>
      <w:r/>
    </w:p>
    <w:p>
      <w:pPr>
        <w:pStyle w:val="77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highlight w:val="none"/>
        </w:rPr>
      </w:r>
      <w:r/>
    </w:p>
    <w:p>
      <w:pPr>
        <w:pStyle w:val="77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三、我方按招标文件要求提交投标文件，响应招标文件规定的投标有效期；</w:t>
      </w:r>
      <w:r>
        <w:rPr>
          <w:rFonts w:ascii="Times New Roman" w:hAnsi="Times New Roman" w:eastAsia="方正仿宋_GBK"/>
          <w:sz w:val="24"/>
          <w:szCs w:val="24"/>
          <w:highlight w:val="none"/>
        </w:rPr>
      </w:r>
      <w:r/>
    </w:p>
    <w:p>
      <w:pPr>
        <w:pStyle w:val="77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highlight w:val="none"/>
        </w:rPr>
      </w:r>
      <w:r/>
    </w:p>
    <w:p>
      <w:pPr>
        <w:pStyle w:val="77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highlight w:val="none"/>
        </w:rPr>
      </w:r>
      <w:r/>
    </w:p>
    <w:p>
      <w:pPr>
        <w:pStyle w:val="77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六、我方同意采购人、采购代理机构将本声明及承诺函上网公开。</w:t>
      </w:r>
      <w:r>
        <w:rPr>
          <w:rFonts w:ascii="Times New Roman" w:hAnsi="Times New Roman" w:eastAsia="方正仿宋_GBK"/>
          <w:sz w:val="24"/>
          <w:szCs w:val="24"/>
          <w:highlight w:val="none"/>
        </w:rPr>
      </w:r>
      <w:r/>
    </w:p>
    <w:p>
      <w:pPr>
        <w:pStyle w:val="779"/>
        <w:ind w:firstLine="480"/>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779"/>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77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投标人名称：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（加盖CA电子公章）</w:t>
      </w:r>
      <w:r>
        <w:rPr>
          <w:rFonts w:ascii="Times New Roman" w:hAnsi="Times New Roman" w:eastAsia="方正仿宋_GBK"/>
          <w:sz w:val="24"/>
          <w:szCs w:val="24"/>
          <w:highlight w:val="none"/>
        </w:rPr>
      </w:r>
      <w:r/>
    </w:p>
    <w:p>
      <w:pPr>
        <w:pStyle w:val="779"/>
        <w:ind w:firstLine="480"/>
        <w:rPr>
          <w:rFonts w:ascii="Times New Roman" w:hAnsi="Times New Roman"/>
          <w:highlight w:val="none"/>
        </w:rPr>
      </w:pPr>
      <w:r>
        <w:rPr>
          <w:rFonts w:hint="eastAsia" w:ascii="Times New Roman" w:hAnsi="Times New Roman" w:eastAsia="方正仿宋_GBK"/>
          <w:sz w:val="24"/>
          <w:szCs w:val="24"/>
          <w:highlight w:val="none"/>
        </w:rPr>
        <w:t xml:space="preserve">日期：    年    月   日</w:t>
      </w:r>
      <w:r>
        <w:rPr>
          <w:rFonts w:ascii="Times New Roman" w:hAnsi="Times New Roman"/>
          <w:highlight w:val="none"/>
        </w:rPr>
      </w:r>
      <w:r/>
    </w:p>
    <w:p>
      <w:pPr>
        <w:pStyle w:val="784"/>
        <w:rPr>
          <w:highlight w:val="none"/>
        </w:rPr>
        <w:outlineLvl w:val="2"/>
      </w:pPr>
      <w:r>
        <w:rPr>
          <w:highlight w:val="none"/>
        </w:rPr>
        <w:br w:type="page" w:clear="all"/>
      </w:r>
      <w:bookmarkStart w:id="292" w:name="_Toc28933"/>
      <w:r>
        <w:rPr>
          <w:rFonts w:hint="eastAsia" w:eastAsia="宋体"/>
          <w:b/>
          <w:sz w:val="32"/>
          <w:szCs w:val="32"/>
          <w:highlight w:val="none"/>
        </w:rPr>
        <w:t xml:space="preserve">二、投标人基本情况</w:t>
      </w:r>
      <w:bookmarkEnd w:id="292"/>
      <w:r>
        <w:rPr>
          <w:highlight w:val="none"/>
        </w:rPr>
      </w:r>
      <w:r/>
    </w:p>
    <w:p>
      <w:pPr>
        <w:pStyle w:val="763"/>
        <w:jc w:val="center"/>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rPr>
          <w:rFonts w:ascii="Times New Roman" w:hAnsi="Times New Roman"/>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rPr>
                <w:rFonts w:ascii="Times New Roman" w:hAnsi="Times New Roman" w:eastAsia="仿宋_GB2312"/>
                <w:sz w:val="24"/>
                <w:szCs w:val="24"/>
                <w:highlight w:val="none"/>
              </w:rPr>
            </w:r>
            <w:r/>
          </w:p>
        </w:tc>
        <w:tc>
          <w:tcPr>
            <w:tcW w:w="311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rPr>
                <w:rFonts w:ascii="Times New Roman" w:hAnsi="Times New Roman" w:eastAsia="仿宋_GB2312"/>
                <w:sz w:val="24"/>
                <w:szCs w:val="24"/>
                <w:highlight w:val="none"/>
              </w:rPr>
            </w:r>
            <w:r/>
          </w:p>
        </w:tc>
        <w:tc>
          <w:tcPr>
            <w:tcW w:w="2604"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rPr>
                <w:rFonts w:ascii="Times New Roman" w:hAnsi="Times New Roman" w:eastAsia="仿宋_GB2312"/>
                <w:sz w:val="24"/>
                <w:szCs w:val="24"/>
                <w:highlight w:val="none"/>
              </w:rPr>
            </w:r>
            <w:r/>
          </w:p>
        </w:tc>
        <w:tc>
          <w:tcPr>
            <w:tcW w:w="311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rPr>
                <w:rFonts w:ascii="Times New Roman" w:hAnsi="Times New Roman" w:eastAsia="仿宋_GB2312"/>
                <w:sz w:val="24"/>
                <w:szCs w:val="24"/>
                <w:highlight w:val="none"/>
              </w:rPr>
            </w:r>
            <w:r/>
          </w:p>
        </w:tc>
        <w:tc>
          <w:tcPr>
            <w:tcW w:w="2604"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rPr>
                <w:rFonts w:ascii="Times New Roman" w:hAnsi="Times New Roman" w:eastAsia="仿宋_GB2312"/>
                <w:sz w:val="24"/>
                <w:szCs w:val="24"/>
                <w:highlight w:val="none"/>
              </w:rPr>
            </w:r>
            <w:r/>
          </w:p>
        </w:tc>
        <w:tc>
          <w:tcPr>
            <w:tcW w:w="311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rPr>
                <w:rFonts w:ascii="Times New Roman" w:hAnsi="Times New Roman" w:eastAsia="仿宋_GB2312"/>
                <w:sz w:val="24"/>
                <w:szCs w:val="24"/>
                <w:highlight w:val="none"/>
              </w:rPr>
            </w:r>
            <w:r/>
          </w:p>
        </w:tc>
        <w:tc>
          <w:tcPr>
            <w:tcW w:w="2604"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rPr>
                <w:rFonts w:ascii="Times New Roman" w:hAnsi="Times New Roman" w:eastAsia="仿宋_GB2312"/>
                <w:sz w:val="24"/>
                <w:szCs w:val="24"/>
                <w:highlight w:val="none"/>
              </w:rPr>
            </w:r>
            <w:r/>
          </w:p>
        </w:tc>
        <w:tc>
          <w:tcPr>
            <w:tcW w:w="311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rPr>
                <w:rFonts w:ascii="Times New Roman" w:hAnsi="Times New Roman" w:eastAsia="仿宋_GB2312"/>
                <w:sz w:val="24"/>
                <w:szCs w:val="24"/>
                <w:highlight w:val="none"/>
              </w:rPr>
            </w:r>
            <w:r/>
          </w:p>
        </w:tc>
        <w:tc>
          <w:tcPr>
            <w:tcW w:w="2604"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rPr>
                <w:rFonts w:ascii="Times New Roman" w:hAnsi="Times New Roman" w:eastAsia="仿宋_GB2312"/>
                <w:sz w:val="24"/>
                <w:szCs w:val="24"/>
                <w:highlight w:val="none"/>
              </w:rPr>
            </w:r>
            <w:r/>
          </w:p>
        </w:tc>
        <w:tc>
          <w:tcPr>
            <w:tcW w:w="311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rPr>
                <w:rFonts w:ascii="Times New Roman" w:hAnsi="Times New Roman" w:eastAsia="仿宋_GB2312"/>
                <w:sz w:val="24"/>
                <w:szCs w:val="24"/>
                <w:highlight w:val="none"/>
              </w:rPr>
            </w:r>
            <w:r/>
          </w:p>
        </w:tc>
        <w:tc>
          <w:tcPr>
            <w:tcW w:w="2604"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rPr>
                <w:rFonts w:ascii="Times New Roman" w:hAnsi="Times New Roman" w:eastAsia="仿宋_GB2312"/>
                <w:sz w:val="24"/>
                <w:szCs w:val="24"/>
                <w:highlight w:val="none"/>
              </w:rPr>
            </w:r>
            <w:r/>
          </w:p>
        </w:tc>
        <w:tc>
          <w:tcPr>
            <w:tcW w:w="3118"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rPr>
            </w:r>
            <w:r/>
          </w:p>
        </w:tc>
        <w:tc>
          <w:tcPr>
            <w:tcW w:w="2604" w:type="dxa"/>
            <w:vAlign w:val="center"/>
            <w:textDirection w:val="lrTb"/>
            <w:noWrap w:val="false"/>
          </w:tcPr>
          <w:p>
            <w:pPr>
              <w:pStyle w:val="763"/>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2376"/>
        </w:trPr>
        <w:tc>
          <w:tcPr>
            <w:tcW w:w="1526" w:type="dxa"/>
            <w:vAlign w:val="center"/>
            <w:textDirection w:val="lrTb"/>
            <w:noWrap w:val="false"/>
          </w:tcPr>
          <w:p>
            <w:pPr>
              <w:pStyle w:val="763"/>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rPr>
                <w:rFonts w:ascii="Times New Roman" w:hAnsi="Times New Roman" w:eastAsia="仿宋_GB2312"/>
                <w:sz w:val="24"/>
                <w:szCs w:val="24"/>
                <w:highlight w:val="none"/>
              </w:rPr>
            </w:r>
            <w:r/>
          </w:p>
        </w:tc>
        <w:tc>
          <w:tcPr>
            <w:gridSpan w:val="3"/>
            <w:tcW w:w="6998" w:type="dxa"/>
            <w:vAlign w:val="top"/>
            <w:textDirection w:val="lrTb"/>
            <w:noWrap w:val="false"/>
          </w:tcPr>
          <w:p>
            <w:pPr>
              <w:pStyle w:val="763"/>
              <w:ind w:firstLine="1432"/>
              <w:spacing w:line="56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134"/>
        </w:trPr>
        <w:tc>
          <w:tcPr>
            <w:tcW w:w="1526" w:type="dxa"/>
            <w:vAlign w:val="center"/>
            <w:textDirection w:val="lrTb"/>
            <w:noWrap w:val="false"/>
          </w:tcPr>
          <w:p>
            <w:pPr>
              <w:pStyle w:val="763"/>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763"/>
              <w:jc w:val="center"/>
              <w:spacing w:line="5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无需提供营业执照等证明材料</w:t>
            </w:r>
            <w:r>
              <w:rPr>
                <w:rFonts w:ascii="Times New Roman" w:hAnsi="Times New Roman" w:eastAsia="仿宋_GB2312"/>
                <w:sz w:val="24"/>
                <w:szCs w:val="24"/>
                <w:highlight w:val="none"/>
              </w:rPr>
            </w:r>
            <w:r/>
          </w:p>
        </w:tc>
      </w:tr>
    </w:tbl>
    <w:p>
      <w:pPr>
        <w:pStyle w:val="664"/>
        <w:ind w:firstLine="480"/>
        <w:spacing w:line="440" w:lineRule="exact"/>
        <w:rPr>
          <w:sz w:val="24"/>
          <w:highlight w:val="none"/>
        </w:rPr>
      </w:pPr>
      <w:r>
        <w:rPr>
          <w:sz w:val="24"/>
          <w:highlight w:val="none"/>
        </w:rPr>
      </w:r>
      <w:r/>
    </w:p>
    <w:p>
      <w:pPr>
        <w:pStyle w:val="664"/>
        <w:ind w:firstLine="480"/>
        <w:spacing w:line="440" w:lineRule="exact"/>
        <w:rPr>
          <w:sz w:val="24"/>
          <w:highlight w:val="none"/>
        </w:rPr>
      </w:pPr>
      <w:r>
        <w:rPr>
          <w:sz w:val="24"/>
          <w:highlight w:val="none"/>
        </w:rPr>
      </w:r>
      <w:r/>
    </w:p>
    <w:p>
      <w:pPr>
        <w:pStyle w:val="664"/>
        <w:ind w:firstLine="480"/>
        <w:spacing w:line="440" w:lineRule="exact"/>
        <w:rPr>
          <w:sz w:val="24"/>
          <w:highlight w:val="none"/>
        </w:rPr>
      </w:pPr>
      <w:r>
        <w:rPr>
          <w:sz w:val="24"/>
          <w:highlight w:val="none"/>
        </w:rPr>
      </w:r>
      <w:r/>
    </w:p>
    <w:p>
      <w:pPr>
        <w:pStyle w:val="779"/>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664"/>
        <w:jc w:val="center"/>
        <w:rPr>
          <w:rFonts w:hint="eastAsia" w:eastAsia="黑体"/>
          <w:i/>
          <w:sz w:val="32"/>
          <w:szCs w:val="32"/>
          <w:highlight w:val="none"/>
          <w:u w:val="single"/>
        </w:rPr>
      </w:pPr>
      <w:r>
        <w:rPr>
          <w:rFonts w:hint="eastAsia" w:eastAsia="黑体"/>
          <w:i/>
          <w:sz w:val="32"/>
          <w:szCs w:val="32"/>
          <w:highlight w:val="none"/>
          <w:u w:val="single"/>
        </w:rPr>
      </w:r>
      <w:r/>
    </w:p>
    <w:p>
      <w:pPr>
        <w:pStyle w:val="664"/>
        <w:jc w:val="center"/>
        <w:rPr>
          <w:rFonts w:hint="eastAsia" w:eastAsia="黑体"/>
          <w:i/>
          <w:sz w:val="32"/>
          <w:szCs w:val="32"/>
          <w:highlight w:val="none"/>
          <w:u w:val="single"/>
        </w:rPr>
      </w:pPr>
      <w:r>
        <w:rPr>
          <w:rFonts w:hint="eastAsia" w:eastAsia="黑体"/>
          <w:i/>
          <w:sz w:val="32"/>
          <w:szCs w:val="32"/>
          <w:highlight w:val="none"/>
          <w:u w:val="single"/>
        </w:rPr>
      </w:r>
      <w:r/>
    </w:p>
    <w:p>
      <w:pPr>
        <w:pStyle w:val="664"/>
        <w:rPr>
          <w:rFonts w:hint="eastAsia" w:eastAsia="黑体"/>
          <w:i/>
          <w:sz w:val="32"/>
          <w:szCs w:val="32"/>
          <w:highlight w:val="none"/>
          <w:u w:val="single"/>
        </w:rPr>
      </w:pPr>
      <w:r>
        <w:rPr>
          <w:rFonts w:hint="eastAsia" w:eastAsia="黑体"/>
          <w:i/>
          <w:sz w:val="32"/>
          <w:szCs w:val="32"/>
          <w:highlight w:val="none"/>
          <w:u w:val="single"/>
        </w:rPr>
      </w:r>
      <w:r/>
    </w:p>
    <w:p>
      <w:pPr>
        <w:pStyle w:val="664"/>
        <w:rPr>
          <w:rFonts w:hint="eastAsia"/>
          <w:b/>
          <w:sz w:val="32"/>
          <w:szCs w:val="32"/>
          <w:highlight w:val="none"/>
        </w:rPr>
        <w:outlineLvl w:val="2"/>
      </w:pPr>
      <w:r/>
      <w:bookmarkStart w:id="293" w:name="_Toc25294"/>
      <w:r>
        <w:rPr>
          <w:rFonts w:hint="eastAsia"/>
          <w:b/>
          <w:sz w:val="32"/>
          <w:szCs w:val="32"/>
          <w:highlight w:val="none"/>
        </w:rPr>
        <w:t xml:space="preserve">三、法人授权书</w:t>
      </w:r>
      <w:bookmarkEnd w:id="293"/>
      <w:r>
        <w:rPr>
          <w:rFonts w:hint="eastAsia"/>
          <w:b/>
          <w:sz w:val="32"/>
          <w:szCs w:val="32"/>
          <w:highlight w:val="none"/>
        </w:rPr>
      </w:r>
      <w:r/>
    </w:p>
    <w:p>
      <w:pPr>
        <w:pStyle w:val="798"/>
        <w:ind w:firstLine="480"/>
        <w:tabs>
          <w:tab w:val="left" w:pos="360" w:leader="none"/>
        </w:tabs>
        <w:rPr>
          <w:rFonts w:hint="eastAsia"/>
          <w:sz w:val="24"/>
          <w:szCs w:val="24"/>
          <w:highlight w:val="none"/>
        </w:rPr>
      </w:pPr>
      <w:r>
        <w:rPr>
          <w:rFonts w:hint="eastAsia"/>
          <w:sz w:val="24"/>
          <w:szCs w:val="24"/>
          <w:highlight w:val="none"/>
        </w:rPr>
        <w:t xml:space="preserve">本授权书声明：____________（投标人名称）授权________________（被授权人的姓名）为我方就JSZC-</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rFonts w:hint="eastAsia"/>
          <w:sz w:val="24"/>
          <w:szCs w:val="24"/>
          <w:highlight w:val="none"/>
        </w:rPr>
      </w:r>
      <w:r/>
    </w:p>
    <w:p>
      <w:pPr>
        <w:pStyle w:val="798"/>
        <w:ind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rFonts w:hint="eastAsia"/>
          <w:sz w:val="24"/>
          <w:szCs w:val="24"/>
          <w:highlight w:val="none"/>
        </w:rPr>
      </w:r>
      <w:r/>
    </w:p>
    <w:p>
      <w:pPr>
        <w:pStyle w:val="798"/>
        <w:ind w:firstLine="0"/>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rFonts w:hint="eastAsia"/>
          <w:sz w:val="24"/>
          <w:szCs w:val="24"/>
          <w:highlight w:val="none"/>
          <w:u w:val="single"/>
        </w:rPr>
      </w:r>
      <w:r/>
    </w:p>
    <w:p>
      <w:pPr>
        <w:pStyle w:val="798"/>
        <w:ind w:firstLine="0"/>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rFonts w:hint="eastAsia"/>
          <w:sz w:val="24"/>
          <w:szCs w:val="24"/>
          <w:highlight w:val="none"/>
          <w:u w:val="single"/>
        </w:rPr>
      </w:r>
      <w:r/>
    </w:p>
    <w:p>
      <w:pPr>
        <w:pStyle w:val="798"/>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p>
    <w:p>
      <w:pPr>
        <w:pStyle w:val="798"/>
        <w:ind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rFonts w:hint="eastAsia"/>
          <w:sz w:val="24"/>
          <w:szCs w:val="24"/>
          <w:highlight w:val="none"/>
          <w:u w:val="single"/>
        </w:rPr>
      </w:r>
      <w:r/>
    </w:p>
    <w:p>
      <w:pPr>
        <w:pStyle w:val="798"/>
        <w:ind w:firstLine="480"/>
        <w:tabs>
          <w:tab w:val="left" w:pos="360" w:leader="none"/>
        </w:tabs>
        <w:rPr>
          <w:rFonts w:hint="eastAsia"/>
          <w:sz w:val="24"/>
          <w:szCs w:val="24"/>
          <w:highlight w:val="none"/>
        </w:rPr>
      </w:pPr>
      <w:r>
        <w:rPr>
          <w:rFonts w:hint="eastAsia"/>
          <w:sz w:val="24"/>
          <w:szCs w:val="24"/>
          <w:highlight w:val="none"/>
        </w:rPr>
        <w:t xml:space="preserve">      日期：</w:t>
      </w:r>
      <w:bookmarkStart w:id="294" w:name="_Hlt26955070"/>
      <w:r/>
      <w:bookmarkEnd w:id="294"/>
      <w:r/>
      <w:bookmarkStart w:id="295" w:name="_Hlt26671380"/>
      <w:r/>
      <w:bookmarkEnd w:id="295"/>
      <w:r/>
      <w:bookmarkStart w:id="296" w:name="_格式3__银行出具的资信证明"/>
      <w:r/>
      <w:bookmarkEnd w:id="296"/>
      <w:r>
        <w:rPr>
          <w:rFonts w:hint="eastAsia"/>
          <w:sz w:val="24"/>
          <w:szCs w:val="24"/>
          <w:highlight w:val="none"/>
          <w:u w:val="single"/>
        </w:rPr>
        <w:t xml:space="preserve">                                         </w:t>
      </w:r>
      <w:r>
        <w:rPr>
          <w:rFonts w:hint="eastAsia"/>
          <w:sz w:val="24"/>
          <w:szCs w:val="24"/>
          <w:highlight w:val="none"/>
        </w:rPr>
      </w:r>
      <w:r/>
    </w:p>
    <w:p>
      <w:pPr>
        <w:pStyle w:val="664"/>
        <w:rPr>
          <w:rFonts w:hint="eastAsia" w:eastAsia="仿宋_GB2312"/>
          <w:sz w:val="24"/>
          <w:szCs w:val="20"/>
          <w:highlight w:val="none"/>
        </w:rPr>
        <w:outlineLvl w:val="2"/>
      </w:pPr>
      <w:r>
        <w:rPr>
          <w:rFonts w:hint="eastAsia"/>
          <w:highlight w:val="none"/>
        </w:rPr>
        <w:br w:type="page" w:clear="all"/>
      </w:r>
      <w:bookmarkStart w:id="297" w:name="_Toc25621"/>
      <w:r>
        <w:rPr>
          <w:rFonts w:hint="eastAsia" w:ascii="宋体" w:hAnsi="宋体" w:eastAsia="宋体" w:cs="宋体"/>
          <w:b w:val="0"/>
          <w:bCs/>
          <w:i w:val="0"/>
          <w:iCs/>
          <w:sz w:val="32"/>
          <w:szCs w:val="32"/>
          <w:highlight w:val="none"/>
          <w:u w:val="none"/>
        </w:rPr>
        <w:t xml:space="preserve">四、开标一览表</w:t>
      </w:r>
      <w:bookmarkEnd w:id="297"/>
      <w:r>
        <w:rPr>
          <w:rFonts w:hint="eastAsia" w:eastAsia="仿宋_GB2312"/>
          <w:sz w:val="24"/>
          <w:szCs w:val="20"/>
          <w:highlight w:val="none"/>
        </w:rPr>
      </w:r>
      <w:r/>
    </w:p>
    <w:p>
      <w:pPr>
        <w:pStyle w:val="664"/>
        <w:ind w:firstLine="480"/>
        <w:rPr>
          <w:rFonts w:hint="eastAsia"/>
          <w:sz w:val="24"/>
          <w:szCs w:val="24"/>
          <w:highlight w:val="none"/>
        </w:rPr>
      </w:pPr>
      <w:r>
        <w:rPr>
          <w:rFonts w:hint="eastAsia"/>
          <w:sz w:val="24"/>
          <w:szCs w:val="24"/>
          <w:highlight w:val="none"/>
        </w:rPr>
        <w:t xml:space="preserve">投标人全称（加盖CA电子签章）：</w:t>
      </w:r>
      <w:r>
        <w:rPr>
          <w:rFonts w:hint="eastAsia"/>
          <w:sz w:val="24"/>
          <w:szCs w:val="24"/>
          <w:highlight w:val="none"/>
        </w:rPr>
      </w:r>
      <w:r/>
    </w:p>
    <w:p>
      <w:pPr>
        <w:pStyle w:val="664"/>
        <w:ind w:firstLine="480"/>
        <w:rPr>
          <w:sz w:val="24"/>
          <w:szCs w:val="24"/>
          <w:highlight w:val="none"/>
        </w:rPr>
      </w:pPr>
      <w:r>
        <w:rPr>
          <w:rFonts w:hint="eastAsia"/>
          <w:sz w:val="24"/>
          <w:szCs w:val="24"/>
          <w:highlight w:val="none"/>
        </w:rPr>
        <w:t xml:space="preserve">项目名称：</w:t>
      </w:r>
      <w:r>
        <w:rPr>
          <w:sz w:val="24"/>
          <w:szCs w:val="24"/>
          <w:highlight w:val="none"/>
        </w:rPr>
      </w:r>
      <w:r/>
    </w:p>
    <w:p>
      <w:pPr>
        <w:pStyle w:val="664"/>
        <w:ind w:firstLine="480"/>
        <w:rPr>
          <w:sz w:val="24"/>
          <w:szCs w:val="24"/>
          <w:highlight w:val="none"/>
        </w:rPr>
      </w:pPr>
      <w:r>
        <w:rPr>
          <w:rFonts w:hint="eastAsia"/>
          <w:sz w:val="24"/>
          <w:szCs w:val="24"/>
          <w:highlight w:val="none"/>
        </w:rPr>
        <w:t xml:space="preserve">招标编号：                                   分包号：</w:t>
      </w:r>
      <w:r>
        <w:rPr>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64"/>
              <w:rPr>
                <w:rFonts w:hint="eastAsia"/>
                <w:sz w:val="24"/>
                <w:szCs w:val="24"/>
                <w:highlight w:val="none"/>
              </w:rPr>
            </w:pPr>
            <w:r>
              <w:rPr>
                <w:rFonts w:hint="eastAsia" w:cs="宋体"/>
                <w:sz w:val="24"/>
                <w:szCs w:val="24"/>
                <w:highlight w:val="none"/>
              </w:rPr>
              <w:t xml:space="preserve">                      </w:t>
            </w:r>
            <w:r>
              <w:rPr>
                <w:rFonts w:hint="eastAsia"/>
                <w:sz w:val="24"/>
                <w:szCs w:val="24"/>
                <w:highlight w:val="none"/>
              </w:rPr>
              <w:t xml:space="preserve">投标总报价</w:t>
            </w:r>
            <w:r>
              <w:rPr>
                <w:rFonts w:hint="eastAsia"/>
                <w:sz w:val="24"/>
                <w:szCs w:val="24"/>
                <w:highlight w:val="none"/>
              </w:rPr>
            </w:r>
            <w:r/>
          </w:p>
        </w:tc>
      </w:tr>
      <w:tr>
        <w:trPr>
          <w:cantSplit/>
          <w:trHeight w:val="612"/>
        </w:trPr>
        <w:tc>
          <w:tcPr>
            <w:tcW w:w="8206" w:type="dxa"/>
            <w:vAlign w:val="center"/>
            <w:textDirection w:val="lrTb"/>
            <w:noWrap w:val="false"/>
          </w:tcPr>
          <w:p>
            <w:pPr>
              <w:pStyle w:val="750"/>
              <w:ind w:firstLine="0"/>
              <w:spacing w:before="0" w:after="0" w:line="500" w:lineRule="exact"/>
              <w:rPr>
                <w:rFonts w:hint="eastAsia" w:ascii="Times New Roman" w:hAnsi="Times New Roman"/>
                <w:szCs w:val="21"/>
                <w:highlight w:val="none"/>
              </w:rPr>
            </w:pPr>
            <w:r>
              <w:rPr>
                <w:rFonts w:hint="eastAsia" w:ascii="Times New Roman" w:hAnsi="Times New Roman" w:cs="宋体"/>
                <w:highlight w:val="none"/>
              </w:rPr>
              <w:t xml:space="preserve">小写：                             （人民币：元）</w:t>
            </w:r>
            <w:r>
              <w:rPr>
                <w:rFonts w:hint="eastAsia" w:ascii="Times New Roman" w:hAnsi="Times New Roman"/>
                <w:szCs w:val="21"/>
                <w:highlight w:val="none"/>
              </w:rPr>
            </w:r>
            <w:r/>
          </w:p>
        </w:tc>
      </w:tr>
    </w:tbl>
    <w:p>
      <w:pPr>
        <w:pStyle w:val="664"/>
        <w:rPr>
          <w:sz w:val="24"/>
          <w:szCs w:val="24"/>
          <w:highlight w:val="none"/>
        </w:rPr>
      </w:pPr>
      <w:r>
        <w:rPr>
          <w:sz w:val="24"/>
          <w:szCs w:val="24"/>
          <w:highlight w:val="none"/>
        </w:rPr>
      </w:r>
      <w:r/>
    </w:p>
    <w:p>
      <w:pPr>
        <w:pStyle w:val="664"/>
        <w:ind w:firstLine="480"/>
        <w:rPr>
          <w:rFonts w:hint="eastAsia"/>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rPr>
          <w:rFonts w:hint="eastAsia"/>
          <w:sz w:val="24"/>
          <w:szCs w:val="24"/>
          <w:highlight w:val="none"/>
        </w:rPr>
      </w:r>
      <w:r/>
    </w:p>
    <w:p>
      <w:pPr>
        <w:pStyle w:val="664"/>
        <w:ind w:firstLine="480"/>
        <w:rPr>
          <w:rFonts w:hint="eastAsia"/>
          <w:sz w:val="24"/>
          <w:szCs w:val="24"/>
          <w:highlight w:val="none"/>
        </w:rPr>
      </w:pPr>
      <w:r>
        <w:rPr>
          <w:rFonts w:hint="eastAsia"/>
          <w:sz w:val="24"/>
          <w:szCs w:val="24"/>
          <w:highlight w:val="none"/>
        </w:rPr>
      </w:r>
      <w:r/>
    </w:p>
    <w:p>
      <w:pPr>
        <w:pStyle w:val="664"/>
        <w:ind w:firstLine="480"/>
        <w:rPr>
          <w:rFonts w:hint="eastAsia"/>
          <w:sz w:val="24"/>
          <w:szCs w:val="24"/>
          <w:highlight w:val="none"/>
        </w:rPr>
      </w:pPr>
      <w:r>
        <w:rPr>
          <w:rFonts w:hint="eastAsia"/>
          <w:sz w:val="24"/>
          <w:szCs w:val="24"/>
          <w:highlight w:val="none"/>
        </w:rPr>
      </w:r>
      <w:r/>
    </w:p>
    <w:p>
      <w:pPr>
        <w:pStyle w:val="664"/>
        <w:jc w:val="center"/>
        <w:rPr>
          <w:rFonts w:hint="eastAsia" w:cs="仿宋"/>
          <w:b/>
          <w:bCs/>
          <w:sz w:val="32"/>
          <w:szCs w:val="32"/>
          <w:highlight w:val="none"/>
        </w:rPr>
      </w:pPr>
      <w:r>
        <w:rPr>
          <w:rFonts w:hint="eastAsia" w:cs="仿宋"/>
          <w:b/>
          <w:bCs/>
          <w:sz w:val="32"/>
          <w:szCs w:val="32"/>
          <w:highlight w:val="none"/>
        </w:rPr>
      </w:r>
      <w:r/>
    </w:p>
    <w:p>
      <w:pPr>
        <w:pStyle w:val="695"/>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664"/>
        <w:rPr>
          <w:rFonts w:hint="eastAsia" w:cs="仿宋"/>
          <w:b/>
          <w:bCs/>
          <w:sz w:val="32"/>
          <w:szCs w:val="32"/>
          <w:highlight w:val="none"/>
        </w:rPr>
      </w:pPr>
      <w:r>
        <w:rPr>
          <w:rFonts w:hint="eastAsia" w:cs="仿宋"/>
          <w:b/>
          <w:bCs/>
          <w:sz w:val="32"/>
          <w:szCs w:val="32"/>
          <w:highlight w:val="none"/>
        </w:rPr>
      </w:r>
      <w:r/>
    </w:p>
    <w:p>
      <w:pPr>
        <w:pStyle w:val="695"/>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664"/>
        <w:rPr>
          <w:rFonts w:hint="eastAsia" w:cs="仿宋"/>
          <w:b/>
          <w:bCs/>
          <w:sz w:val="32"/>
          <w:szCs w:val="32"/>
          <w:highlight w:val="none"/>
        </w:rPr>
      </w:pPr>
      <w:r>
        <w:rPr>
          <w:rFonts w:hint="eastAsia" w:cs="仿宋"/>
          <w:b/>
          <w:bCs/>
          <w:sz w:val="32"/>
          <w:szCs w:val="32"/>
          <w:highlight w:val="none"/>
        </w:rPr>
      </w:r>
      <w:r/>
    </w:p>
    <w:p>
      <w:pPr>
        <w:pStyle w:val="695"/>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664"/>
        <w:rPr>
          <w:rFonts w:hint="eastAsia" w:cs="仿宋"/>
          <w:b/>
          <w:bCs/>
          <w:sz w:val="32"/>
          <w:szCs w:val="32"/>
          <w:highlight w:val="none"/>
        </w:rPr>
      </w:pPr>
      <w:r>
        <w:rPr>
          <w:rFonts w:hint="eastAsia" w:cs="仿宋"/>
          <w:b/>
          <w:bCs/>
          <w:sz w:val="32"/>
          <w:szCs w:val="32"/>
          <w:highlight w:val="none"/>
        </w:rPr>
      </w:r>
      <w:r/>
    </w:p>
    <w:p>
      <w:pPr>
        <w:pStyle w:val="695"/>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664"/>
        <w:rPr>
          <w:rFonts w:hint="eastAsia" w:cs="仿宋"/>
          <w:b/>
          <w:bCs/>
          <w:sz w:val="32"/>
          <w:szCs w:val="32"/>
          <w:highlight w:val="none"/>
        </w:rPr>
      </w:pPr>
      <w:r>
        <w:rPr>
          <w:rFonts w:hint="eastAsia" w:cs="仿宋"/>
          <w:b/>
          <w:bCs/>
          <w:sz w:val="32"/>
          <w:szCs w:val="32"/>
          <w:highlight w:val="none"/>
        </w:rPr>
      </w:r>
      <w:r/>
    </w:p>
    <w:p>
      <w:pPr>
        <w:pStyle w:val="695"/>
        <w:rPr>
          <w:rFonts w:hint="eastAsia" w:ascii="Times New Roman" w:hAnsi="Times New Roman" w:cs="仿宋"/>
          <w:b/>
          <w:bCs/>
          <w:sz w:val="32"/>
          <w:szCs w:val="32"/>
          <w:highlight w:val="none"/>
        </w:rPr>
      </w:pPr>
      <w:r>
        <w:rPr>
          <w:rFonts w:hint="eastAsia" w:ascii="Times New Roman" w:hAnsi="Times New Roman" w:cs="仿宋"/>
          <w:b/>
          <w:bCs/>
          <w:sz w:val="32"/>
          <w:szCs w:val="32"/>
          <w:highlight w:val="none"/>
        </w:rPr>
      </w:r>
      <w:r/>
    </w:p>
    <w:p>
      <w:pPr>
        <w:pStyle w:val="664"/>
        <w:rPr>
          <w:rFonts w:hint="eastAsia" w:cs="仿宋"/>
          <w:b/>
          <w:bCs/>
          <w:sz w:val="32"/>
          <w:szCs w:val="32"/>
          <w:highlight w:val="none"/>
        </w:rPr>
      </w:pPr>
      <w:r>
        <w:rPr>
          <w:rFonts w:hint="eastAsia" w:cs="仿宋"/>
          <w:b/>
          <w:bCs/>
          <w:sz w:val="32"/>
          <w:szCs w:val="32"/>
          <w:highlight w:val="none"/>
        </w:rPr>
      </w:r>
      <w:r/>
    </w:p>
    <w:p>
      <w:pPr>
        <w:pStyle w:val="695"/>
        <w:rPr>
          <w:rFonts w:hint="eastAsia"/>
          <w:highlight w:val="none"/>
        </w:rPr>
      </w:pPr>
      <w:r>
        <w:rPr>
          <w:rFonts w:hint="eastAsia"/>
          <w:highlight w:val="none"/>
        </w:rPr>
      </w:r>
      <w:r/>
    </w:p>
    <w:p>
      <w:pPr>
        <w:pStyle w:val="750"/>
        <w:ind w:left="420"/>
        <w:spacing w:before="0" w:after="0" w:line="420" w:lineRule="exact"/>
        <w:rPr>
          <w:rFonts w:hint="eastAsia" w:ascii="Times New Roman" w:hAnsi="Times New Roman"/>
          <w:szCs w:val="21"/>
          <w:highlight w:val="none"/>
        </w:rPr>
      </w:pPr>
      <w:r>
        <w:rPr>
          <w:rFonts w:hint="eastAsia" w:ascii="Times New Roman" w:hAnsi="Times New Roman"/>
          <w:szCs w:val="21"/>
          <w:highlight w:val="none"/>
        </w:rPr>
      </w:r>
      <w:r/>
    </w:p>
    <w:p>
      <w:pPr>
        <w:pStyle w:val="664"/>
        <w:jc w:val="center"/>
        <w:rPr>
          <w:bCs/>
          <w:sz w:val="24"/>
          <w:highlight w:val="none"/>
        </w:rPr>
      </w:pPr>
      <w:r>
        <w:rPr>
          <w:bCs/>
          <w:sz w:val="24"/>
          <w:highlight w:val="none"/>
        </w:rPr>
      </w:r>
      <w:r/>
    </w:p>
    <w:p>
      <w:pPr>
        <w:pStyle w:val="664"/>
        <w:jc w:val="center"/>
        <w:rPr>
          <w:bCs/>
          <w:sz w:val="24"/>
          <w:highlight w:val="none"/>
        </w:rPr>
      </w:pPr>
      <w:r>
        <w:rPr>
          <w:bCs/>
          <w:sz w:val="24"/>
          <w:highlight w:val="none"/>
        </w:rPr>
      </w:r>
      <w:r/>
    </w:p>
    <w:p>
      <w:pPr>
        <w:pStyle w:val="664"/>
        <w:jc w:val="center"/>
        <w:rPr>
          <w:bCs/>
          <w:sz w:val="24"/>
          <w:highlight w:val="none"/>
        </w:rPr>
      </w:pPr>
      <w:r>
        <w:rPr>
          <w:bCs/>
          <w:sz w:val="24"/>
          <w:highlight w:val="none"/>
        </w:rPr>
      </w:r>
      <w:r/>
    </w:p>
    <w:p>
      <w:pPr>
        <w:pStyle w:val="664"/>
        <w:jc w:val="center"/>
        <w:rPr>
          <w:bCs/>
          <w:sz w:val="24"/>
          <w:highlight w:val="none"/>
        </w:rPr>
      </w:pPr>
      <w:r>
        <w:rPr>
          <w:bCs/>
          <w:sz w:val="24"/>
          <w:highlight w:val="none"/>
        </w:rPr>
      </w:r>
      <w:r/>
    </w:p>
    <w:p>
      <w:pPr>
        <w:pStyle w:val="664"/>
        <w:jc w:val="center"/>
        <w:rPr>
          <w:bCs/>
          <w:sz w:val="24"/>
          <w:highlight w:val="none"/>
        </w:rPr>
      </w:pPr>
      <w:r>
        <w:rPr>
          <w:bCs/>
          <w:sz w:val="24"/>
          <w:highlight w:val="none"/>
        </w:rPr>
      </w:r>
      <w:r/>
    </w:p>
    <w:p>
      <w:pPr>
        <w:pStyle w:val="664"/>
        <w:rPr>
          <w:rFonts w:hint="eastAsia"/>
          <w:b/>
          <w:sz w:val="32"/>
          <w:szCs w:val="32"/>
          <w:highlight w:val="none"/>
        </w:rPr>
        <w:outlineLvl w:val="2"/>
      </w:pPr>
      <w:r/>
      <w:bookmarkStart w:id="298" w:name="_Toc19017"/>
      <w:r>
        <w:rPr>
          <w:rFonts w:hint="eastAsia"/>
          <w:b/>
          <w:sz w:val="32"/>
          <w:szCs w:val="32"/>
          <w:highlight w:val="none"/>
        </w:rPr>
        <w:t xml:space="preserve">五、明细报价表</w:t>
      </w:r>
      <w:bookmarkEnd w:id="298"/>
      <w:r>
        <w:rPr>
          <w:rFonts w:hint="eastAsia"/>
          <w:b/>
          <w:sz w:val="32"/>
          <w:szCs w:val="32"/>
          <w:highlight w:val="none"/>
        </w:rPr>
      </w:r>
      <w:r/>
    </w:p>
    <w:p>
      <w:pPr>
        <w:pStyle w:val="808"/>
        <w:jc w:val="center"/>
        <w:spacing w:line="600" w:lineRule="exact"/>
        <w:rPr>
          <w:rFonts w:ascii="宋体" w:hAnsi="宋体"/>
          <w:bCs/>
          <w:sz w:val="32"/>
          <w:szCs w:val="32"/>
          <w:highlight w:val="none"/>
        </w:rPr>
      </w:pPr>
      <w:r>
        <w:rPr>
          <w:rFonts w:hint="eastAsia" w:ascii="宋体" w:hAnsi="宋体"/>
          <w:bCs/>
          <w:sz w:val="32"/>
          <w:szCs w:val="32"/>
          <w:highlight w:val="none"/>
        </w:rPr>
        <w:t xml:space="preserve">明细报价表（货物类）</w:t>
      </w:r>
      <w:r>
        <w:rPr>
          <w:rFonts w:ascii="宋体" w:hAnsi="宋体"/>
          <w:bCs/>
          <w:sz w:val="32"/>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W w:w="654" w:type="dxa"/>
            <w:vAlign w:val="center"/>
            <w:textDirection w:val="lrTb"/>
            <w:noWrap w:val="false"/>
          </w:tcPr>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序号</w:t>
            </w:r>
            <w:r>
              <w:rPr>
                <w:rFonts w:ascii="宋体" w:hAnsi="宋体"/>
                <w:sz w:val="28"/>
                <w:szCs w:val="28"/>
                <w:highlight w:val="none"/>
              </w:rPr>
            </w:r>
            <w:r/>
          </w:p>
        </w:tc>
        <w:tc>
          <w:tcPr>
            <w:tcW w:w="1407" w:type="dxa"/>
            <w:vAlign w:val="center"/>
            <w:textDirection w:val="lrTb"/>
            <w:noWrap w:val="false"/>
          </w:tcPr>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货物名称</w:t>
            </w:r>
            <w:r>
              <w:rPr>
                <w:rFonts w:ascii="宋体" w:hAnsi="宋体"/>
                <w:sz w:val="28"/>
                <w:szCs w:val="28"/>
                <w:highlight w:val="none"/>
              </w:rPr>
            </w:r>
            <w:r/>
          </w:p>
        </w:tc>
        <w:tc>
          <w:tcPr>
            <w:tcW w:w="2266" w:type="dxa"/>
            <w:vAlign w:val="center"/>
            <w:textDirection w:val="lrTb"/>
            <w:noWrap w:val="false"/>
          </w:tcPr>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品牌.型号.规格.产地</w:t>
            </w:r>
            <w:r>
              <w:rPr>
                <w:rFonts w:ascii="宋体" w:hAnsi="宋体"/>
                <w:sz w:val="28"/>
                <w:szCs w:val="28"/>
                <w:highlight w:val="none"/>
              </w:rPr>
            </w:r>
            <w:r/>
          </w:p>
        </w:tc>
        <w:tc>
          <w:tcPr>
            <w:tcW w:w="1134" w:type="dxa"/>
            <w:vAlign w:val="center"/>
            <w:textDirection w:val="lrTb"/>
            <w:noWrap w:val="false"/>
          </w:tcPr>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单价</w:t>
            </w:r>
            <w:r>
              <w:rPr>
                <w:rFonts w:ascii="宋体" w:hAnsi="宋体"/>
                <w:sz w:val="28"/>
                <w:szCs w:val="28"/>
                <w:highlight w:val="none"/>
              </w:rPr>
            </w:r>
            <w:r/>
          </w:p>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（元）</w:t>
            </w:r>
            <w:r>
              <w:rPr>
                <w:rFonts w:ascii="宋体" w:hAnsi="宋体"/>
                <w:sz w:val="28"/>
                <w:szCs w:val="28"/>
                <w:highlight w:val="none"/>
              </w:rPr>
            </w:r>
            <w:r/>
          </w:p>
        </w:tc>
        <w:tc>
          <w:tcPr>
            <w:tcW w:w="992" w:type="dxa"/>
            <w:vAlign w:val="center"/>
            <w:textDirection w:val="lrTb"/>
            <w:noWrap w:val="false"/>
          </w:tcPr>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数量</w:t>
            </w:r>
            <w:r>
              <w:rPr>
                <w:rFonts w:ascii="宋体" w:hAnsi="宋体"/>
                <w:sz w:val="28"/>
                <w:szCs w:val="28"/>
                <w:highlight w:val="none"/>
              </w:rPr>
            </w:r>
            <w:r/>
          </w:p>
        </w:tc>
        <w:tc>
          <w:tcPr>
            <w:tcW w:w="1541" w:type="dxa"/>
            <w:vAlign w:val="center"/>
            <w:textDirection w:val="lrTb"/>
            <w:noWrap w:val="false"/>
          </w:tcPr>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合价</w:t>
            </w:r>
            <w:r>
              <w:rPr>
                <w:rFonts w:ascii="宋体" w:hAnsi="宋体"/>
                <w:sz w:val="28"/>
                <w:szCs w:val="28"/>
                <w:highlight w:val="none"/>
              </w:rPr>
            </w:r>
            <w:r/>
          </w:p>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（元）</w:t>
            </w:r>
            <w:r>
              <w:rPr>
                <w:rFonts w:ascii="宋体" w:hAnsi="宋体"/>
                <w:sz w:val="28"/>
                <w:szCs w:val="28"/>
                <w:highlight w:val="none"/>
              </w:rPr>
            </w:r>
            <w:r/>
          </w:p>
        </w:tc>
        <w:tc>
          <w:tcPr>
            <w:tcW w:w="991" w:type="dxa"/>
            <w:vAlign w:val="center"/>
            <w:textDirection w:val="lrTb"/>
            <w:noWrap w:val="false"/>
          </w:tcPr>
          <w:p>
            <w:pPr>
              <w:pStyle w:val="808"/>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备注</w:t>
            </w:r>
            <w:r>
              <w:rPr>
                <w:rFonts w:ascii="宋体" w:hAnsi="宋体"/>
                <w:sz w:val="28"/>
                <w:szCs w:val="28"/>
                <w:highlight w:val="none"/>
              </w:rPr>
            </w:r>
            <w:r/>
          </w:p>
        </w:tc>
      </w:tr>
      <w:tr>
        <w:trPr>
          <w:cantSplit/>
          <w:trHeight w:val="482"/>
        </w:trPr>
        <w:tc>
          <w:tcPr>
            <w:tcW w:w="654" w:type="dxa"/>
            <w:vAlign w:val="top"/>
            <w:textDirection w:val="lrTb"/>
            <w:noWrap w:val="false"/>
          </w:tcPr>
          <w:p>
            <w:pPr>
              <w:pStyle w:val="808"/>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r>
            <w:r/>
          </w:p>
        </w:tc>
        <w:tc>
          <w:tcPr>
            <w:tcW w:w="1407"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2266"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134"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2"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54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r>
      <w:tr>
        <w:trPr>
          <w:cantSplit/>
          <w:trHeight w:val="376"/>
        </w:trPr>
        <w:tc>
          <w:tcPr>
            <w:tcW w:w="654" w:type="dxa"/>
            <w:vAlign w:val="top"/>
            <w:textDirection w:val="lrTb"/>
            <w:noWrap w:val="false"/>
          </w:tcPr>
          <w:p>
            <w:pPr>
              <w:pStyle w:val="808"/>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r>
            <w:r/>
          </w:p>
        </w:tc>
        <w:tc>
          <w:tcPr>
            <w:tcW w:w="1407"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2266"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134"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2"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54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r>
      <w:tr>
        <w:trPr>
          <w:cantSplit/>
          <w:trHeight w:val="200"/>
        </w:trPr>
        <w:tc>
          <w:tcPr>
            <w:tcW w:w="654" w:type="dxa"/>
            <w:vAlign w:val="top"/>
            <w:textDirection w:val="lrTb"/>
            <w:noWrap w:val="false"/>
          </w:tcPr>
          <w:p>
            <w:pPr>
              <w:pStyle w:val="808"/>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r>
            <w:r/>
          </w:p>
        </w:tc>
        <w:tc>
          <w:tcPr>
            <w:tcW w:w="1407"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2266"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134"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2"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54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r>
      <w:tr>
        <w:trPr>
          <w:cantSplit/>
          <w:trHeight w:val="200"/>
        </w:trPr>
        <w:tc>
          <w:tcPr>
            <w:tcW w:w="654" w:type="dxa"/>
            <w:vAlign w:val="top"/>
            <w:textDirection w:val="lrTb"/>
            <w:noWrap w:val="false"/>
          </w:tcPr>
          <w:p>
            <w:pPr>
              <w:pStyle w:val="808"/>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r>
            <w:r/>
          </w:p>
        </w:tc>
        <w:tc>
          <w:tcPr>
            <w:tcW w:w="1407"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2266"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134"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2"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54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r>
      <w:tr>
        <w:trPr>
          <w:cantSplit/>
          <w:trHeight w:val="200"/>
        </w:trPr>
        <w:tc>
          <w:tcPr>
            <w:tcW w:w="654" w:type="dxa"/>
            <w:vAlign w:val="top"/>
            <w:textDirection w:val="lrTb"/>
            <w:noWrap w:val="false"/>
          </w:tcPr>
          <w:p>
            <w:pPr>
              <w:pStyle w:val="808"/>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5</w:t>
            </w:r>
            <w:r>
              <w:rPr>
                <w:rFonts w:ascii="宋体" w:hAnsi="宋体"/>
                <w:sz w:val="28"/>
                <w:szCs w:val="28"/>
                <w:highlight w:val="none"/>
              </w:rPr>
            </w:r>
            <w:r/>
          </w:p>
        </w:tc>
        <w:tc>
          <w:tcPr>
            <w:tcW w:w="1407"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2266"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134"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2"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54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r>
      <w:tr>
        <w:trPr>
          <w:cantSplit/>
          <w:trHeight w:val="70"/>
        </w:trPr>
        <w:tc>
          <w:tcPr>
            <w:tcW w:w="654" w:type="dxa"/>
            <w:vAlign w:val="top"/>
            <w:textDirection w:val="lrTb"/>
            <w:noWrap w:val="false"/>
          </w:tcPr>
          <w:p>
            <w:pPr>
              <w:pStyle w:val="808"/>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w:t>
            </w:r>
            <w:r>
              <w:rPr>
                <w:rFonts w:ascii="宋体" w:hAnsi="宋体"/>
                <w:sz w:val="28"/>
                <w:szCs w:val="28"/>
                <w:highlight w:val="none"/>
              </w:rPr>
            </w:r>
            <w:r/>
          </w:p>
        </w:tc>
        <w:tc>
          <w:tcPr>
            <w:tcW w:w="1407"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2266"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134"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2" w:type="dxa"/>
            <w:vAlign w:val="top"/>
            <w:textDirection w:val="lrTb"/>
            <w:noWrap w:val="false"/>
          </w:tcPr>
          <w:p>
            <w:pPr>
              <w:pStyle w:val="808"/>
              <w:jc w:val="center"/>
              <w:spacing w:line="560" w:lineRule="exact"/>
              <w:widowControl/>
              <w:rPr>
                <w:rFonts w:ascii="宋体" w:hAnsi="宋体"/>
                <w:sz w:val="28"/>
                <w:szCs w:val="28"/>
                <w:highlight w:val="none"/>
              </w:rPr>
            </w:pPr>
            <w:r>
              <w:rPr>
                <w:rFonts w:ascii="宋体" w:hAnsi="宋体"/>
                <w:sz w:val="28"/>
                <w:szCs w:val="28"/>
                <w:highlight w:val="none"/>
              </w:rPr>
            </w:r>
            <w:r/>
          </w:p>
        </w:tc>
        <w:tc>
          <w:tcPr>
            <w:tcW w:w="154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c>
          <w:tcPr>
            <w:tcW w:w="991" w:type="dxa"/>
            <w:vAlign w:val="center"/>
            <w:textDirection w:val="lrTb"/>
            <w:noWrap w:val="false"/>
          </w:tcPr>
          <w:p>
            <w:pPr>
              <w:pStyle w:val="808"/>
              <w:jc w:val="center"/>
              <w:spacing w:line="560" w:lineRule="exact"/>
              <w:rPr>
                <w:rFonts w:ascii="宋体" w:hAnsi="宋体"/>
                <w:sz w:val="28"/>
                <w:szCs w:val="28"/>
                <w:highlight w:val="none"/>
              </w:rPr>
            </w:pPr>
            <w:r>
              <w:rPr>
                <w:rFonts w:ascii="宋体" w:hAnsi="宋体"/>
                <w:sz w:val="28"/>
                <w:szCs w:val="28"/>
                <w:highlight w:val="none"/>
              </w:rPr>
            </w:r>
            <w:r/>
          </w:p>
        </w:tc>
      </w:tr>
      <w:tr>
        <w:trPr>
          <w:cantSplit/>
          <w:trHeight w:val="1406"/>
        </w:trPr>
        <w:tc>
          <w:tcPr>
            <w:gridSpan w:val="2"/>
            <w:tcW w:w="2061" w:type="dxa"/>
            <w:vAlign w:val="center"/>
            <w:textDirection w:val="lrTb"/>
            <w:noWrap w:val="false"/>
          </w:tcPr>
          <w:p>
            <w:pPr>
              <w:pStyle w:val="808"/>
              <w:jc w:val="center"/>
              <w:spacing w:line="500" w:lineRule="exact"/>
              <w:rPr>
                <w:rFonts w:ascii="宋体" w:hAnsi="宋体"/>
                <w:b/>
                <w:bCs/>
                <w:sz w:val="24"/>
                <w:highlight w:val="none"/>
              </w:rPr>
            </w:pPr>
            <w:r>
              <w:rPr>
                <w:rFonts w:hint="eastAsia" w:ascii="宋体" w:hAnsi="宋体"/>
                <w:b/>
                <w:bCs/>
                <w:sz w:val="28"/>
                <w:szCs w:val="28"/>
                <w:highlight w:val="none"/>
              </w:rPr>
              <w:t xml:space="preserve">报价总计</w:t>
            </w:r>
            <w:r>
              <w:rPr>
                <w:rFonts w:ascii="宋体" w:hAnsi="宋体"/>
                <w:b/>
                <w:bCs/>
                <w:sz w:val="24"/>
                <w:highlight w:val="none"/>
              </w:rPr>
            </w:r>
            <w:r/>
          </w:p>
        </w:tc>
        <w:tc>
          <w:tcPr>
            <w:gridSpan w:val="5"/>
            <w:tcW w:w="6924" w:type="dxa"/>
            <w:vAlign w:val="center"/>
            <w:textDirection w:val="lrTb"/>
            <w:noWrap w:val="false"/>
          </w:tcPr>
          <w:p>
            <w:pPr>
              <w:pStyle w:val="808"/>
              <w:spacing w:line="500" w:lineRule="exact"/>
              <w:rPr>
                <w:rFonts w:ascii="宋体" w:hAnsi="宋体"/>
                <w:b/>
                <w:bCs/>
                <w:sz w:val="24"/>
                <w:highlight w:val="none"/>
              </w:rPr>
            </w:pPr>
            <w:r>
              <w:rPr>
                <w:rFonts w:hint="eastAsia" w:ascii="宋体" w:hAnsi="宋体"/>
                <w:b/>
                <w:bCs/>
                <w:sz w:val="24"/>
                <w:highlight w:val="none"/>
              </w:rPr>
              <w:t xml:space="preserve">￥</w:t>
            </w:r>
            <w:r>
              <w:rPr>
                <w:rFonts w:hint="eastAsia" w:ascii="宋体" w:hAnsi="宋体"/>
                <w:sz w:val="24"/>
                <w:highlight w:val="none"/>
              </w:rPr>
              <w:t xml:space="preserve">  </w:t>
            </w:r>
            <w:r>
              <w:rPr>
                <w:rFonts w:hint="eastAsia" w:ascii="宋体" w:hAnsi="宋体"/>
                <w:sz w:val="24"/>
                <w:highlight w:val="none"/>
                <w:u w:val="single"/>
              </w:rPr>
              <w:t xml:space="preserve">              </w:t>
            </w:r>
            <w:r>
              <w:rPr>
                <w:rFonts w:hint="eastAsia" w:ascii="宋体" w:hAnsi="宋体"/>
                <w:sz w:val="24"/>
                <w:highlight w:val="none"/>
              </w:rPr>
              <w:t xml:space="preserve">                 </w:t>
            </w:r>
            <w:r>
              <w:rPr>
                <w:rFonts w:ascii="宋体" w:hAnsi="宋体"/>
                <w:b/>
                <w:bCs/>
                <w:sz w:val="24"/>
                <w:highlight w:val="none"/>
              </w:rPr>
            </w:r>
            <w:r/>
          </w:p>
          <w:p>
            <w:pPr>
              <w:pStyle w:val="808"/>
              <w:spacing w:line="500" w:lineRule="exact"/>
              <w:rPr>
                <w:rFonts w:ascii="宋体" w:hAnsi="宋体"/>
                <w:b/>
                <w:bCs/>
                <w:sz w:val="24"/>
                <w:highlight w:val="none"/>
              </w:rPr>
            </w:pPr>
            <w:r>
              <w:rPr>
                <w:rFonts w:hint="eastAsia" w:ascii="宋体" w:hAnsi="宋体"/>
                <w:b/>
                <w:bCs/>
                <w:sz w:val="24"/>
                <w:highlight w:val="none"/>
              </w:rPr>
              <w:t xml:space="preserve">人民币（大写）：</w:t>
            </w:r>
            <w:r>
              <w:rPr>
                <w:rFonts w:hint="eastAsia" w:ascii="宋体" w:hAnsi="宋体"/>
                <w:sz w:val="24"/>
                <w:highlight w:val="none"/>
                <w:u w:val="single"/>
              </w:rPr>
              <w:t xml:space="preserve">     </w:t>
            </w:r>
            <w:r>
              <w:rPr>
                <w:rFonts w:hint="eastAsia" w:ascii="宋体" w:hAnsi="宋体"/>
                <w:bCs/>
                <w:sz w:val="24"/>
                <w:highlight w:val="none"/>
              </w:rPr>
              <w:t xml:space="preserve">佰</w:t>
            </w:r>
            <w:r>
              <w:rPr>
                <w:rFonts w:hint="eastAsia" w:ascii="宋体" w:hAnsi="宋体"/>
                <w:sz w:val="24"/>
                <w:highlight w:val="none"/>
                <w:u w:val="single"/>
              </w:rPr>
              <w:t xml:space="preserve">    </w:t>
            </w:r>
            <w:r>
              <w:rPr>
                <w:rFonts w:hint="eastAsia" w:ascii="宋体" w:hAnsi="宋体"/>
                <w:bCs/>
                <w:sz w:val="24"/>
                <w:highlight w:val="none"/>
              </w:rPr>
              <w:t xml:space="preserve">拾</w:t>
            </w:r>
            <w:r>
              <w:rPr>
                <w:rFonts w:hint="eastAsia" w:ascii="宋体" w:hAnsi="宋体"/>
                <w:sz w:val="24"/>
                <w:highlight w:val="none"/>
                <w:u w:val="single"/>
              </w:rPr>
              <w:t xml:space="preserve">    </w:t>
            </w:r>
            <w:r>
              <w:rPr>
                <w:rFonts w:hint="eastAsia" w:ascii="宋体" w:hAnsi="宋体"/>
                <w:bCs/>
                <w:sz w:val="24"/>
                <w:highlight w:val="none"/>
              </w:rPr>
              <w:t xml:space="preserve"> 万</w:t>
            </w:r>
            <w:r>
              <w:rPr>
                <w:rFonts w:hint="eastAsia" w:ascii="宋体" w:hAnsi="宋体"/>
                <w:bCs/>
                <w:sz w:val="24"/>
                <w:highlight w:val="none"/>
                <w:u w:val="single"/>
              </w:rPr>
              <w:t xml:space="preserve">    </w:t>
            </w:r>
            <w:r>
              <w:rPr>
                <w:rFonts w:hint="eastAsia" w:ascii="宋体" w:hAnsi="宋体"/>
                <w:bCs/>
                <w:sz w:val="24"/>
                <w:highlight w:val="none"/>
              </w:rPr>
              <w:t xml:space="preserve">仟</w:t>
            </w:r>
            <w:r>
              <w:rPr>
                <w:rFonts w:hint="eastAsia" w:ascii="宋体" w:hAnsi="宋体"/>
                <w:sz w:val="24"/>
                <w:highlight w:val="none"/>
                <w:u w:val="single"/>
              </w:rPr>
              <w:t xml:space="preserve">      </w:t>
            </w:r>
            <w:r>
              <w:rPr>
                <w:rFonts w:hint="eastAsia" w:ascii="宋体" w:hAnsi="宋体"/>
                <w:bCs/>
                <w:sz w:val="24"/>
                <w:highlight w:val="none"/>
              </w:rPr>
              <w:t xml:space="preserve">佰</w:t>
            </w:r>
            <w:r>
              <w:rPr>
                <w:rFonts w:hint="eastAsia" w:ascii="宋体" w:hAnsi="宋体"/>
                <w:sz w:val="24"/>
                <w:highlight w:val="none"/>
                <w:u w:val="single"/>
              </w:rPr>
              <w:t xml:space="preserve">      </w:t>
            </w:r>
            <w:r>
              <w:rPr>
                <w:rFonts w:hint="eastAsia" w:ascii="宋体" w:hAnsi="宋体"/>
                <w:bCs/>
                <w:sz w:val="24"/>
                <w:highlight w:val="none"/>
              </w:rPr>
              <w:t xml:space="preserve">拾</w:t>
            </w:r>
            <w:r>
              <w:rPr>
                <w:rFonts w:hint="eastAsia" w:ascii="宋体" w:hAnsi="宋体"/>
                <w:sz w:val="24"/>
                <w:highlight w:val="none"/>
              </w:rPr>
              <w:t xml:space="preserve">     </w:t>
            </w:r>
            <w:r>
              <w:rPr>
                <w:rFonts w:hint="eastAsia" w:ascii="宋体" w:hAnsi="宋体"/>
                <w:bCs/>
                <w:sz w:val="24"/>
                <w:highlight w:val="none"/>
              </w:rPr>
              <w:t xml:space="preserve">元</w:t>
            </w:r>
            <w:r>
              <w:rPr>
                <w:rFonts w:hint="eastAsia" w:ascii="宋体" w:hAnsi="宋体"/>
                <w:sz w:val="24"/>
                <w:highlight w:val="none"/>
                <w:u w:val="single"/>
              </w:rPr>
              <w:t xml:space="preserve">      </w:t>
            </w:r>
            <w:r>
              <w:rPr>
                <w:rFonts w:hint="eastAsia" w:ascii="宋体" w:hAnsi="宋体"/>
                <w:bCs/>
                <w:sz w:val="24"/>
                <w:highlight w:val="none"/>
              </w:rPr>
              <w:t xml:space="preserve">角</w:t>
            </w:r>
            <w:r>
              <w:rPr>
                <w:rFonts w:hint="eastAsia" w:ascii="宋体" w:hAnsi="宋体"/>
                <w:sz w:val="24"/>
                <w:highlight w:val="none"/>
                <w:u w:val="single"/>
              </w:rPr>
              <w:t xml:space="preserve">      </w:t>
            </w:r>
            <w:r>
              <w:rPr>
                <w:rFonts w:hint="eastAsia" w:ascii="宋体" w:hAnsi="宋体"/>
                <w:bCs/>
                <w:sz w:val="24"/>
                <w:highlight w:val="none"/>
              </w:rPr>
              <w:t xml:space="preserve">分</w:t>
            </w:r>
            <w:r>
              <w:rPr>
                <w:rFonts w:ascii="宋体" w:hAnsi="宋体"/>
                <w:b/>
                <w:bCs/>
                <w:sz w:val="24"/>
                <w:highlight w:val="none"/>
              </w:rPr>
            </w:r>
            <w:r/>
          </w:p>
        </w:tc>
      </w:tr>
    </w:tbl>
    <w:p>
      <w:pPr>
        <w:pStyle w:val="808"/>
        <w:jc w:val="left"/>
        <w:spacing w:line="400" w:lineRule="exact"/>
        <w:widowControl/>
        <w:rPr>
          <w:rFonts w:hint="eastAsia" w:ascii="宋体" w:hAnsi="宋体"/>
          <w:b/>
          <w:sz w:val="24"/>
          <w:highlight w:val="none"/>
        </w:rPr>
      </w:pPr>
      <w:r>
        <w:rPr>
          <w:rFonts w:hint="eastAsia" w:ascii="宋体" w:hAnsi="宋体"/>
          <w:sz w:val="24"/>
          <w:highlight w:val="none"/>
        </w:rPr>
        <w:t xml:space="preserve">注：</w:t>
      </w:r>
      <w:r>
        <w:rPr>
          <w:rFonts w:hint="eastAsia" w:ascii="宋体" w:hAnsi="宋体"/>
          <w:sz w:val="24"/>
          <w:szCs w:val="30"/>
          <w:highlight w:val="none"/>
        </w:rPr>
        <w:t xml:space="preserve">投标人应分项进行填报，表中表格行数可自行添加。报价应包含项目实施过程中涉及到的一切相关费用</w:t>
      </w:r>
      <w:r>
        <w:rPr>
          <w:rFonts w:hint="eastAsia" w:ascii="宋体" w:hAnsi="宋体"/>
          <w:sz w:val="24"/>
          <w:szCs w:val="30"/>
          <w:highlight w:val="none"/>
          <w:lang w:eastAsia="zh-CN"/>
        </w:rPr>
        <w:t xml:space="preserve">，包含但不限于设备厂验的所有费用（产生的差旅费、交通费等）、系统对接所产生的费用、相关平台对接所产生的费用、配合费、搬迁费、人工费、辅材费等</w:t>
      </w:r>
      <w:r>
        <w:rPr>
          <w:rFonts w:hint="eastAsia" w:ascii="宋体" w:hAnsi="宋体"/>
          <w:sz w:val="24"/>
          <w:szCs w:val="30"/>
          <w:highlight w:val="none"/>
        </w:rPr>
        <w:t xml:space="preserve">。</w:t>
      </w:r>
      <w:r>
        <w:rPr>
          <w:rFonts w:hint="eastAsia" w:ascii="宋体" w:hAnsi="宋体"/>
          <w:b/>
          <w:sz w:val="24"/>
          <w:szCs w:val="30"/>
          <w:highlight w:val="none"/>
        </w:rPr>
        <w:t xml:space="preserve">表中报价总计应与对应开标（报价）一览表中总价一致</w:t>
      </w:r>
      <w:r>
        <w:rPr>
          <w:rFonts w:hint="eastAsia" w:ascii="宋体" w:hAnsi="宋体"/>
          <w:b/>
          <w:sz w:val="24"/>
          <w:highlight w:val="none"/>
        </w:rPr>
        <w:t xml:space="preserve">。</w:t>
      </w:r>
      <w:r>
        <w:rPr>
          <w:rFonts w:hint="eastAsia" w:ascii="宋体" w:hAnsi="宋体"/>
          <w:b/>
          <w:sz w:val="24"/>
          <w:highlight w:val="none"/>
        </w:rPr>
      </w:r>
      <w:r/>
    </w:p>
    <w:p>
      <w:pPr>
        <w:pStyle w:val="809"/>
        <w:rPr>
          <w:rFonts w:hint="eastAsia"/>
          <w:highlight w:val="none"/>
        </w:rPr>
      </w:pPr>
      <w:r>
        <w:rPr>
          <w:rFonts w:hint="eastAsia"/>
          <w:highlight w:val="none"/>
        </w:rPr>
      </w:r>
      <w:r/>
    </w:p>
    <w:p>
      <w:pPr>
        <w:pStyle w:val="667"/>
        <w:jc w:val="left"/>
        <w:keepNext w:val="0"/>
        <w:spacing w:before="120" w:after="120"/>
        <w:rPr>
          <w:rFonts w:hint="eastAsia" w:eastAsia="黑体"/>
          <w:b w:val="0"/>
          <w:highlight w:val="none"/>
        </w:rPr>
      </w:pPr>
      <w:r>
        <w:rPr>
          <w:rFonts w:ascii="宋体" w:hAnsi="宋体" w:cs="宋体"/>
          <w:strike/>
          <w:highlight w:val="none"/>
        </w:rPr>
        <w:br w:type="page" w:clear="all"/>
      </w:r>
      <w:bookmarkStart w:id="299" w:name="_Toc3236"/>
      <w:r/>
      <w:bookmarkStart w:id="300" w:name="_Toc20420"/>
      <w:r/>
      <w:bookmarkStart w:id="301" w:name="_Toc7327"/>
      <w:r>
        <w:rPr>
          <w:rFonts w:hint="eastAsia" w:eastAsia="黑体"/>
          <w:highlight w:val="none"/>
        </w:rPr>
        <w:t xml:space="preserve">六</w:t>
      </w:r>
      <w:r>
        <w:rPr>
          <w:rFonts w:hint="eastAsia" w:eastAsia="黑体"/>
          <w:b w:val="0"/>
          <w:highlight w:val="none"/>
        </w:rPr>
        <w:t xml:space="preserve">、</w:t>
      </w:r>
      <w:r>
        <w:rPr>
          <w:rFonts w:hint="eastAsia" w:eastAsia="黑体"/>
          <w:highlight w:val="none"/>
        </w:rPr>
        <w:t xml:space="preserve">中小企业或残疾人福利性单位声明函</w:t>
      </w:r>
      <w:bookmarkEnd w:id="299"/>
      <w:r/>
      <w:bookmarkEnd w:id="300"/>
      <w:r/>
      <w:bookmarkEnd w:id="301"/>
      <w:r>
        <w:rPr>
          <w:rFonts w:hint="eastAsia" w:eastAsia="黑体"/>
          <w:b w:val="0"/>
          <w:highlight w:val="none"/>
        </w:rPr>
      </w:r>
      <w:r/>
    </w:p>
    <w:p>
      <w:pPr>
        <w:pStyle w:val="759"/>
        <w:jc w:val="center"/>
        <w:rPr>
          <w:rFonts w:ascii="Times New Roman" w:hAnsi="Times New Roman"/>
          <w:b/>
          <w:sz w:val="36"/>
          <w:szCs w:val="36"/>
          <w:highlight w:val="none"/>
        </w:rPr>
      </w:pPr>
      <w:r>
        <w:rPr>
          <w:rFonts w:hint="eastAsia" w:ascii="Times New Roman" w:hAnsi="Times New Roman"/>
          <w:b/>
          <w:sz w:val="36"/>
          <w:szCs w:val="36"/>
          <w:highlight w:val="none"/>
        </w:rPr>
        <w:t xml:space="preserve">中小（微）企业声明函（货物）</w:t>
      </w:r>
      <w:r>
        <w:rPr>
          <w:rFonts w:ascii="Times New Roman" w:hAnsi="Times New Roman"/>
          <w:b/>
          <w:sz w:val="36"/>
          <w:szCs w:val="36"/>
          <w:highlight w:val="none"/>
        </w:rPr>
      </w:r>
      <w:r/>
    </w:p>
    <w:p>
      <w:pPr>
        <w:pStyle w:val="759"/>
        <w:jc w:val="left"/>
        <w:rPr>
          <w:rFonts w:ascii="Times New Roman" w:hAnsi="Times New Roman"/>
          <w:b/>
          <w:sz w:val="32"/>
          <w:szCs w:val="32"/>
          <w:highlight w:val="none"/>
        </w:rPr>
      </w:pPr>
      <w:r>
        <w:rPr>
          <w:rFonts w:ascii="Times New Roman" w:hAnsi="Times New Roman"/>
          <w:b/>
          <w:sz w:val="32"/>
          <w:szCs w:val="32"/>
          <w:highlight w:val="none"/>
        </w:rPr>
      </w:r>
      <w:r/>
    </w:p>
    <w:p>
      <w:pPr>
        <w:pStyle w:val="759"/>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cs="宋体"/>
          <w:sz w:val="24"/>
          <w:szCs w:val="24"/>
          <w:highlight w:val="none"/>
          <w:u w:val="single"/>
        </w:rPr>
        <w:t xml:space="preserve"> 单位名称  </w:t>
      </w:r>
      <w:r>
        <w:rPr>
          <w:rFonts w:hint="eastAsia" w:ascii="Times New Roman" w:hAnsi="Times New Roman" w:cs="宋体"/>
          <w:sz w:val="24"/>
          <w:szCs w:val="24"/>
          <w:highlight w:val="none"/>
        </w:rPr>
        <w:t xml:space="preserve">的（</w:t>
      </w:r>
      <w:r>
        <w:rPr>
          <w:rFonts w:hint="eastAsia" w:ascii="Times New Roman" w:hAnsi="Times New Roman" w:cs="宋体"/>
          <w:sz w:val="24"/>
          <w:szCs w:val="24"/>
          <w:highlight w:val="none"/>
          <w:u w:val="single"/>
        </w:rPr>
        <w:t xml:space="preserve">项目名称）</w:t>
      </w:r>
      <w:r>
        <w:rPr>
          <w:rFonts w:hint="eastAsia" w:ascii="Times New Roman" w:hAnsi="Times New Roman" w:cs="宋体"/>
          <w:sz w:val="24"/>
          <w:szCs w:val="24"/>
          <w:highlight w:val="none"/>
        </w:rPr>
        <w:t xml:space="preserve"> 采购活动，提供的货物全部由符合政策要求的中小企业制造。相关企业（含联合体中的中小企业、签订分包意向协议的中小企业）的具体情况如下：</w:t>
      </w:r>
      <w:r>
        <w:rPr>
          <w:rFonts w:hint="eastAsia" w:ascii="Times New Roman" w:hAnsi="Times New Roman" w:cs="宋体"/>
          <w:sz w:val="24"/>
          <w:szCs w:val="24"/>
          <w:highlight w:val="none"/>
        </w:rPr>
      </w:r>
      <w:r/>
    </w:p>
    <w:p>
      <w:pPr>
        <w:pStyle w:val="759"/>
        <w:ind w:firstLine="480"/>
        <w:jc w:val="left"/>
        <w:spacing w:line="500" w:lineRule="exac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1.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 xml:space="preserve">，属于（</w:t>
      </w:r>
      <w:r>
        <w:rPr>
          <w:rFonts w:hint="eastAsia" w:ascii="Times New Roman" w:hAnsi="Times New Roman" w:cs="宋体"/>
          <w:i/>
          <w:sz w:val="24"/>
          <w:szCs w:val="24"/>
          <w:highlight w:val="none"/>
          <w:u w:val="single"/>
        </w:rPr>
        <w:t xml:space="preserve">投标人填写招标文件中明确的所属行业）</w:t>
      </w:r>
      <w:r>
        <w:rPr>
          <w:rFonts w:hint="eastAsia" w:ascii="Times New Roman" w:hAnsi="Times New Roman" w:cs="宋体"/>
          <w:sz w:val="24"/>
          <w:szCs w:val="24"/>
          <w:highlight w:val="none"/>
          <w:u w:val="single"/>
        </w:rPr>
        <w:t xml:space="preserve">行业</w:t>
      </w:r>
      <w:r>
        <w:rPr>
          <w:rFonts w:hint="eastAsia" w:ascii="Times New Roman" w:hAnsi="Times New Roman" w:cs="宋体"/>
          <w:sz w:val="24"/>
          <w:szCs w:val="24"/>
          <w:highlight w:val="none"/>
        </w:rPr>
        <w:t xml:space="preserve">；制造商为</w:t>
      </w:r>
      <w:r>
        <w:rPr>
          <w:rFonts w:hint="eastAsia" w:ascii="Times New Roman" w:hAnsi="Times New Roman" w:cs="宋体"/>
          <w:sz w:val="24"/>
          <w:szCs w:val="24"/>
          <w:highlight w:val="none"/>
          <w:u w:val="single"/>
        </w:rPr>
        <w:t xml:space="preserve">（企业名称）</w:t>
      </w:r>
      <w:r>
        <w:rPr>
          <w:rFonts w:hint="eastAsia" w:ascii="Times New Roman" w:hAnsi="Times New Roman" w:cs="宋体"/>
          <w:sz w:val="24"/>
          <w:szCs w:val="24"/>
          <w:highlight w:val="none"/>
        </w:rPr>
        <w:t xml:space="preserve">，从业人员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w:t>
      </w:r>
      <w:r>
        <w:rPr>
          <w:rFonts w:hint="eastAsia" w:ascii="Times New Roman" w:hAnsi="Times New Roman" w:cs="宋体"/>
          <w:sz w:val="24"/>
          <w:szCs w:val="24"/>
          <w:highlight w:val="none"/>
          <w:vertAlign w:val="superscript"/>
        </w:rPr>
        <w:t xml:space="preserve">1</w:t>
      </w:r>
      <w:r>
        <w:rPr>
          <w:rFonts w:hint="eastAsia" w:ascii="Times New Roman" w:hAnsi="Times New Roman" w:cs="宋体"/>
          <w:sz w:val="24"/>
          <w:szCs w:val="24"/>
          <w:highlight w:val="none"/>
        </w:rPr>
        <w:t xml:space="preserve">，属于</w:t>
      </w:r>
      <w:r>
        <w:rPr>
          <w:rFonts w:hint="eastAsia" w:ascii="Times New Roman" w:hAnsi="Times New Roman" w:cs="宋体"/>
          <w:sz w:val="24"/>
          <w:szCs w:val="24"/>
          <w:highlight w:val="none"/>
          <w:u w:val="single"/>
        </w:rPr>
        <w:t xml:space="preserve">（中型企业、小型企业、微型企业）；</w:t>
      </w:r>
      <w:r>
        <w:rPr>
          <w:rFonts w:hint="eastAsia" w:ascii="Times New Roman" w:hAnsi="Times New Roman" w:cs="宋体"/>
          <w:sz w:val="24"/>
          <w:szCs w:val="24"/>
          <w:highlight w:val="none"/>
          <w:u w:val="single"/>
        </w:rPr>
      </w:r>
      <w:r/>
    </w:p>
    <w:p>
      <w:pPr>
        <w:pStyle w:val="759"/>
        <w:ind w:firstLine="480"/>
        <w:jc w:val="left"/>
        <w:spacing w:line="500" w:lineRule="exact"/>
        <w:rPr>
          <w:rFonts w:hint="eastAsia" w:ascii="Times New Roman" w:hAnsi="Times New Roman" w:cs="宋体"/>
          <w:sz w:val="24"/>
          <w:szCs w:val="24"/>
          <w:highlight w:val="none"/>
          <w:u w:val="single"/>
        </w:rPr>
      </w:pPr>
      <w:r>
        <w:rPr>
          <w:rFonts w:hint="eastAsia" w:ascii="Times New Roman" w:hAnsi="Times New Roman" w:cs="宋体"/>
          <w:sz w:val="24"/>
          <w:szCs w:val="24"/>
          <w:highlight w:val="none"/>
        </w:rPr>
        <w:t xml:space="preserve">2. </w:t>
      </w:r>
      <w:r>
        <w:rPr>
          <w:rFonts w:hint="eastAsia" w:ascii="Times New Roman" w:hAnsi="Times New Roman" w:cs="宋体"/>
          <w:sz w:val="24"/>
          <w:szCs w:val="24"/>
          <w:highlight w:val="none"/>
          <w:u w:val="single"/>
        </w:rPr>
        <w:t xml:space="preserve">标的名称          </w:t>
      </w:r>
      <w:r>
        <w:rPr>
          <w:rFonts w:hint="eastAsia" w:ascii="Times New Roman" w:hAnsi="Times New Roman" w:cs="宋体"/>
          <w:sz w:val="24"/>
          <w:szCs w:val="24"/>
          <w:highlight w:val="none"/>
        </w:rPr>
        <w:t xml:space="preserve">，属于（</w:t>
      </w:r>
      <w:r>
        <w:rPr>
          <w:rFonts w:hint="eastAsia" w:ascii="Times New Roman" w:hAnsi="Times New Roman" w:cs="宋体"/>
          <w:i/>
          <w:sz w:val="24"/>
          <w:szCs w:val="24"/>
          <w:highlight w:val="none"/>
          <w:u w:val="single"/>
        </w:rPr>
        <w:t xml:space="preserve">投标人填写招标文件中明确的所属行业）</w:t>
      </w:r>
      <w:r>
        <w:rPr>
          <w:rFonts w:hint="eastAsia" w:ascii="Times New Roman" w:hAnsi="Times New Roman" w:cs="宋体"/>
          <w:sz w:val="24"/>
          <w:szCs w:val="24"/>
          <w:highlight w:val="none"/>
          <w:u w:val="single"/>
        </w:rPr>
        <w:t xml:space="preserve">行业</w:t>
      </w:r>
      <w:r>
        <w:rPr>
          <w:rFonts w:hint="eastAsia" w:ascii="Times New Roman" w:hAnsi="Times New Roman" w:cs="宋体"/>
          <w:sz w:val="24"/>
          <w:szCs w:val="24"/>
          <w:highlight w:val="none"/>
        </w:rPr>
        <w:t xml:space="preserve">；制造商为</w:t>
      </w:r>
      <w:r>
        <w:rPr>
          <w:rFonts w:hint="eastAsia" w:ascii="Times New Roman" w:hAnsi="Times New Roman" w:cs="宋体"/>
          <w:sz w:val="24"/>
          <w:szCs w:val="24"/>
          <w:highlight w:val="none"/>
          <w:u w:val="single"/>
        </w:rPr>
        <w:t xml:space="preserve">（企业名称）        </w:t>
      </w:r>
      <w:r>
        <w:rPr>
          <w:rFonts w:hint="eastAsia" w:ascii="Times New Roman" w:hAnsi="Times New Roman" w:cs="宋体"/>
          <w:sz w:val="24"/>
          <w:szCs w:val="24"/>
          <w:highlight w:val="none"/>
        </w:rPr>
        <w:t xml:space="preserve">，从业人员</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人，营业收入为 </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万元，资产总额为</w:t>
      </w:r>
      <w:r>
        <w:rPr>
          <w:rFonts w:hint="eastAsia" w:ascii="Times New Roman" w:hAnsi="Times New Roman" w:cs="宋体"/>
          <w:sz w:val="24"/>
          <w:szCs w:val="24"/>
          <w:highlight w:val="none"/>
          <w:u w:val="single"/>
        </w:rPr>
        <w:t xml:space="preserve">        </w:t>
      </w:r>
      <w:r>
        <w:rPr>
          <w:rFonts w:hint="eastAsia" w:ascii="Times New Roman" w:hAnsi="Times New Roman" w:cs="宋体"/>
          <w:sz w:val="24"/>
          <w:szCs w:val="24"/>
          <w:highlight w:val="none"/>
        </w:rPr>
        <w:t xml:space="preserve">万元，属于</w:t>
      </w:r>
      <w:r>
        <w:rPr>
          <w:rFonts w:hint="eastAsia" w:ascii="Times New Roman" w:hAnsi="Times New Roman" w:cs="宋体"/>
          <w:sz w:val="24"/>
          <w:szCs w:val="24"/>
          <w:highlight w:val="none"/>
          <w:u w:val="single"/>
        </w:rPr>
        <w:t xml:space="preserve">（中型企业、小型企业、微型企业）；</w:t>
      </w:r>
      <w:r>
        <w:rPr>
          <w:rFonts w:hint="eastAsia" w:ascii="Times New Roman" w:hAnsi="Times New Roman" w:cs="宋体"/>
          <w:sz w:val="24"/>
          <w:szCs w:val="24"/>
          <w:highlight w:val="none"/>
          <w:u w:val="single"/>
        </w:rPr>
      </w:r>
      <w:r/>
    </w:p>
    <w:p>
      <w:pPr>
        <w:pStyle w:val="759"/>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w:t>
      </w:r>
      <w:r>
        <w:rPr>
          <w:rFonts w:hint="eastAsia" w:ascii="Times New Roman" w:hAnsi="Times New Roman" w:cs="宋体"/>
          <w:sz w:val="24"/>
          <w:szCs w:val="24"/>
          <w:highlight w:val="none"/>
        </w:rPr>
      </w:r>
      <w:r/>
    </w:p>
    <w:p>
      <w:pPr>
        <w:pStyle w:val="759"/>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cs="宋体"/>
          <w:sz w:val="24"/>
          <w:szCs w:val="24"/>
          <w:highlight w:val="none"/>
        </w:rPr>
      </w:r>
      <w:r/>
    </w:p>
    <w:p>
      <w:pPr>
        <w:pStyle w:val="759"/>
        <w:ind w:firstLine="480"/>
        <w:jc w:val="left"/>
        <w:spacing w:line="500" w:lineRule="exact"/>
        <w:rPr>
          <w:rFonts w:hint="eastAsia" w:ascii="Times New Roman" w:hAnsi="Times New Roman" w:cs="宋体"/>
          <w:sz w:val="24"/>
          <w:szCs w:val="24"/>
          <w:highlight w:val="none"/>
        </w:rPr>
      </w:pPr>
      <w:r>
        <w:rPr>
          <w:rFonts w:hint="eastAsia" w:ascii="Times New Roman" w:hAnsi="Times New Roman" w:cs="宋体"/>
          <w:sz w:val="24"/>
          <w:szCs w:val="24"/>
          <w:highlight w:val="none"/>
        </w:rPr>
        <w:t xml:space="preserve">本企业对上述声明内容的真实性负责。如有虚假，将依法承担相应责任。</w:t>
      </w:r>
      <w:r>
        <w:rPr>
          <w:rFonts w:hint="eastAsia" w:ascii="Times New Roman" w:hAnsi="Times New Roman" w:cs="宋体"/>
          <w:sz w:val="24"/>
          <w:szCs w:val="24"/>
          <w:highlight w:val="none"/>
        </w:rPr>
      </w:r>
      <w:r/>
    </w:p>
    <w:p>
      <w:pPr>
        <w:pStyle w:val="664"/>
        <w:ind w:right="720"/>
        <w:spacing w:line="360" w:lineRule="auto"/>
        <w:rPr>
          <w:rFonts w:hint="eastAsia"/>
          <w:sz w:val="24"/>
          <w:szCs w:val="24"/>
          <w:highlight w:val="none"/>
        </w:rPr>
      </w:pPr>
      <w:r>
        <w:rPr>
          <w:rFonts w:hint="eastAsia"/>
          <w:sz w:val="24"/>
          <w:szCs w:val="24"/>
          <w:highlight w:val="none"/>
        </w:rPr>
      </w:r>
      <w:r/>
    </w:p>
    <w:p>
      <w:pPr>
        <w:pStyle w:val="664"/>
        <w:ind w:right="180" w:firstLine="360"/>
        <w:jc w:val="right"/>
        <w:spacing w:line="360" w:lineRule="auto"/>
        <w:rPr>
          <w:rFonts w:hint="eastAsia"/>
          <w:sz w:val="24"/>
          <w:szCs w:val="24"/>
          <w:highlight w:val="none"/>
        </w:rPr>
      </w:pPr>
      <w:r>
        <w:rPr>
          <w:rFonts w:hint="eastAsia"/>
          <w:sz w:val="24"/>
          <w:szCs w:val="24"/>
          <w:highlight w:val="none"/>
        </w:rPr>
        <w:t xml:space="preserve">企业名称：（加盖CA电子公章）</w:t>
      </w:r>
      <w:r>
        <w:rPr>
          <w:rFonts w:hint="eastAsia"/>
          <w:sz w:val="24"/>
          <w:szCs w:val="24"/>
          <w:highlight w:val="none"/>
        </w:rPr>
      </w:r>
      <w:r/>
    </w:p>
    <w:p>
      <w:pPr>
        <w:pStyle w:val="664"/>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rPr>
          <w:rFonts w:hint="eastAsia"/>
          <w:sz w:val="24"/>
          <w:szCs w:val="24"/>
          <w:highlight w:val="none"/>
        </w:rPr>
      </w:r>
      <w:r/>
    </w:p>
    <w:p>
      <w:pPr>
        <w:pStyle w:val="759"/>
        <w:ind w:firstLine="360"/>
        <w:spacing w:line="560" w:lineRule="exact"/>
        <w:rPr>
          <w:rFonts w:ascii="Times New Roman" w:hAnsi="Times New Roman"/>
          <w:sz w:val="18"/>
          <w:szCs w:val="18"/>
          <w:highlight w:val="none"/>
        </w:rPr>
      </w:pPr>
      <w:r>
        <w:rPr>
          <w:rFonts w:hint="eastAsia" w:ascii="Times New Roman" w:hAnsi="Times New Roman"/>
          <w:sz w:val="18"/>
          <w:szCs w:val="18"/>
          <w:highlight w:val="none"/>
          <w:vertAlign w:val="superscript"/>
        </w:rPr>
        <w:t xml:space="preserve">1</w:t>
      </w:r>
      <w:r>
        <w:rPr>
          <w:rFonts w:hint="eastAsia" w:ascii="Times New Roman" w:hAnsi="Times New Roman"/>
          <w:sz w:val="18"/>
          <w:szCs w:val="18"/>
          <w:highlight w:val="none"/>
        </w:rPr>
        <w:t xml:space="preserve">从业人员、营业收入、资产总额填报上一年数据，无上一年数据的新成立企业可不填报。</w:t>
      </w:r>
      <w:r>
        <w:rPr>
          <w:rFonts w:ascii="Times New Roman" w:hAnsi="Times New Roman"/>
          <w:sz w:val="18"/>
          <w:szCs w:val="18"/>
          <w:highlight w:val="none"/>
        </w:rPr>
      </w:r>
      <w:r/>
    </w:p>
    <w:p>
      <w:pPr>
        <w:pStyle w:val="664"/>
        <w:spacing w:line="460" w:lineRule="exact"/>
        <w:rPr>
          <w:rFonts w:hint="eastAsia" w:eastAsia="黑体"/>
          <w:iCs/>
          <w:sz w:val="32"/>
          <w:szCs w:val="32"/>
          <w:highlight w:val="none"/>
        </w:rPr>
      </w:pPr>
      <w:r>
        <w:rPr>
          <w:rFonts w:eastAsia="黑体"/>
          <w:b/>
          <w:sz w:val="32"/>
          <w:szCs w:val="32"/>
          <w:highlight w:val="none"/>
        </w:rPr>
        <w:br w:type="page" w:clear="all"/>
      </w:r>
      <w:r>
        <w:rPr>
          <w:rFonts w:hint="eastAsia" w:eastAsia="黑体"/>
          <w:iCs/>
          <w:sz w:val="32"/>
          <w:szCs w:val="32"/>
          <w:highlight w:val="none"/>
        </w:rPr>
      </w:r>
      <w:r/>
    </w:p>
    <w:p>
      <w:pPr>
        <w:pStyle w:val="775"/>
        <w:jc w:val="center"/>
        <w:spacing w:before="151" w:after="151" w:line="600" w:lineRule="exact"/>
        <w:rPr>
          <w:rFonts w:ascii="Times New Roman" w:hAnsi="Times New Roman"/>
          <w:b/>
          <w:bCs/>
          <w:sz w:val="32"/>
          <w:szCs w:val="32"/>
          <w:highlight w:val="none"/>
        </w:rPr>
      </w:pPr>
      <w:r>
        <w:rPr>
          <w:rFonts w:hint="eastAsia" w:ascii="Times New Roman" w:hAnsi="Times New Roman"/>
          <w:b/>
          <w:bCs/>
          <w:sz w:val="32"/>
          <w:szCs w:val="32"/>
          <w:highlight w:val="none"/>
        </w:rPr>
        <w:t xml:space="preserve">残疾人福利性单位声明函</w:t>
      </w:r>
      <w:r>
        <w:rPr>
          <w:rFonts w:ascii="Times New Roman" w:hAnsi="Times New Roman"/>
          <w:b/>
          <w:bCs/>
          <w:sz w:val="32"/>
          <w:szCs w:val="32"/>
          <w:highlight w:val="none"/>
        </w:rPr>
      </w:r>
      <w:r/>
    </w:p>
    <w:p>
      <w:pPr>
        <w:pStyle w:val="765"/>
        <w:spacing w:line="588" w:lineRule="exact"/>
        <w:rPr>
          <w:rFonts w:ascii="Times New Roman" w:hAnsi="Times New Roman" w:eastAsia="仿宋_GB2312"/>
          <w:b/>
          <w:spacing w:val="6"/>
          <w:sz w:val="30"/>
          <w:szCs w:val="30"/>
          <w:highlight w:val="none"/>
        </w:rPr>
      </w:pPr>
      <w:r>
        <w:rPr>
          <w:rFonts w:ascii="Times New Roman" w:hAnsi="Times New Roman" w:eastAsia="仿宋_GB2312"/>
          <w:b/>
          <w:spacing w:val="6"/>
          <w:sz w:val="30"/>
          <w:szCs w:val="30"/>
          <w:highlight w:val="none"/>
        </w:rPr>
      </w:r>
      <w:r/>
    </w:p>
    <w:p>
      <w:pPr>
        <w:pStyle w:val="664"/>
        <w:ind w:firstLine="480"/>
        <w:spacing w:line="360" w:lineRule="auto"/>
        <w:rPr>
          <w:rFonts w:hint="eastAsia"/>
          <w:sz w:val="24"/>
          <w:highlight w:val="none"/>
        </w:rPr>
      </w:pPr>
      <w:r>
        <w:rPr>
          <w:rFonts w:hint="eastAsia"/>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highlight w:val="none"/>
          <w:u w:val="single"/>
        </w:rPr>
        <w:t xml:space="preserve">          </w:t>
      </w:r>
      <w:r>
        <w:rPr>
          <w:rFonts w:hint="eastAsia"/>
          <w:sz w:val="24"/>
          <w:highlight w:val="none"/>
        </w:rPr>
        <w:t xml:space="preserve">的</w:t>
      </w:r>
      <w:r>
        <w:rPr>
          <w:rFonts w:hint="eastAsia"/>
          <w:sz w:val="24"/>
          <w:highlight w:val="none"/>
          <w:u w:val="single"/>
        </w:rPr>
        <w:t xml:space="preserve">                  </w:t>
      </w:r>
      <w:r>
        <w:rPr>
          <w:rFonts w:hint="eastAsia"/>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sz w:val="24"/>
          <w:highlight w:val="none"/>
        </w:rPr>
      </w:r>
      <w:r/>
    </w:p>
    <w:p>
      <w:pPr>
        <w:pStyle w:val="664"/>
        <w:ind w:firstLine="480"/>
        <w:spacing w:line="360" w:lineRule="auto"/>
        <w:rPr>
          <w:rFonts w:hint="eastAsia"/>
          <w:sz w:val="24"/>
          <w:highlight w:val="none"/>
        </w:rPr>
      </w:pPr>
      <w:r>
        <w:rPr>
          <w:rFonts w:hint="eastAsia"/>
          <w:sz w:val="24"/>
          <w:highlight w:val="none"/>
        </w:rPr>
        <w:t xml:space="preserve">本单位对上述声明的真实性负责。如有虚假，将依法承担相应责任。</w:t>
      </w:r>
      <w:r>
        <w:rPr>
          <w:rFonts w:hint="eastAsia"/>
          <w:sz w:val="24"/>
          <w:highlight w:val="none"/>
        </w:rPr>
      </w:r>
      <w:r/>
    </w:p>
    <w:p>
      <w:pPr>
        <w:pStyle w:val="664"/>
        <w:ind w:firstLine="480"/>
        <w:spacing w:line="360" w:lineRule="auto"/>
        <w:rPr>
          <w:rFonts w:hint="eastAsia"/>
          <w:sz w:val="24"/>
          <w:highlight w:val="none"/>
        </w:rPr>
      </w:pPr>
      <w:r>
        <w:rPr>
          <w:rFonts w:hint="eastAsia"/>
          <w:sz w:val="24"/>
          <w:highlight w:val="none"/>
        </w:rPr>
      </w:r>
      <w:r/>
    </w:p>
    <w:p>
      <w:pPr>
        <w:pStyle w:val="664"/>
        <w:ind w:firstLine="480"/>
        <w:spacing w:line="360" w:lineRule="auto"/>
        <w:rPr>
          <w:sz w:val="24"/>
          <w:highlight w:val="none"/>
        </w:rPr>
      </w:pPr>
      <w:r>
        <w:rPr>
          <w:rFonts w:hint="eastAsia"/>
          <w:sz w:val="24"/>
          <w:highlight w:val="none"/>
        </w:rPr>
        <w:t xml:space="preserve">（备注：中标人为残疾人福利单位的，此声明函将随中标结果同时公告，接受社会监督。）</w:t>
      </w:r>
      <w:r>
        <w:rPr>
          <w:sz w:val="24"/>
          <w:highlight w:val="none"/>
        </w:rPr>
      </w:r>
      <w:r/>
    </w:p>
    <w:p>
      <w:pPr>
        <w:pStyle w:val="664"/>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770"/>
        <w:spacing w:line="360" w:lineRule="auto"/>
        <w:rPr>
          <w:rFonts w:ascii="Times New Roman" w:hAnsi="Times New Roman"/>
          <w:highlight w:val="none"/>
        </w:rPr>
      </w:pPr>
      <w:r>
        <w:rPr>
          <w:rFonts w:ascii="Times New Roman" w:hAnsi="Times New Roman"/>
          <w:highlight w:val="none"/>
        </w:rPr>
      </w:r>
      <w:r/>
    </w:p>
    <w:p>
      <w:pPr>
        <w:pStyle w:val="664"/>
        <w:ind w:right="180" w:firstLine="360"/>
        <w:jc w:val="right"/>
        <w:spacing w:line="360" w:lineRule="auto"/>
        <w:rPr>
          <w:rFonts w:hint="eastAsia"/>
          <w:sz w:val="24"/>
          <w:szCs w:val="24"/>
          <w:highlight w:val="none"/>
        </w:rPr>
      </w:pPr>
      <w:r>
        <w:rPr>
          <w:rFonts w:hint="eastAsia"/>
          <w:sz w:val="24"/>
          <w:szCs w:val="24"/>
          <w:highlight w:val="none"/>
        </w:rPr>
        <w:t xml:space="preserve">企业名称：（加盖CA电子公章）</w:t>
      </w:r>
      <w:r>
        <w:rPr>
          <w:rFonts w:hint="eastAsia"/>
          <w:sz w:val="24"/>
          <w:szCs w:val="24"/>
          <w:highlight w:val="none"/>
        </w:rPr>
      </w:r>
      <w:r/>
    </w:p>
    <w:p>
      <w:pPr>
        <w:pStyle w:val="664"/>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rPr>
          <w:rFonts w:hint="eastAsia"/>
          <w:sz w:val="24"/>
          <w:szCs w:val="24"/>
          <w:highlight w:val="none"/>
        </w:rPr>
      </w:r>
      <w:r/>
    </w:p>
    <w:p>
      <w:pPr>
        <w:pStyle w:val="664"/>
        <w:jc w:val="left"/>
        <w:spacing w:line="560" w:lineRule="exact"/>
        <w:rPr>
          <w:rFonts w:eastAsia="黑体"/>
          <w:b/>
          <w:sz w:val="32"/>
          <w:szCs w:val="32"/>
          <w:highlight w:val="none"/>
        </w:rPr>
      </w:pPr>
      <w:r>
        <w:rPr>
          <w:rFonts w:eastAsia="黑体"/>
          <w:b/>
          <w:sz w:val="32"/>
          <w:szCs w:val="32"/>
          <w:highlight w:val="none"/>
        </w:rPr>
      </w:r>
      <w:r/>
    </w:p>
    <w:p>
      <w:pPr>
        <w:pStyle w:val="679"/>
        <w:rPr>
          <w:highlight w:val="none"/>
        </w:rPr>
      </w:pPr>
      <w:r>
        <w:rPr>
          <w:highlight w:val="none"/>
        </w:rPr>
      </w:r>
      <w:r/>
    </w:p>
    <w:p>
      <w:pPr>
        <w:pStyle w:val="664"/>
        <w:rPr>
          <w:highlight w:val="none"/>
        </w:rPr>
      </w:pPr>
      <w:r>
        <w:rPr>
          <w:highlight w:val="none"/>
        </w:rPr>
      </w:r>
      <w:r/>
    </w:p>
    <w:p>
      <w:pPr>
        <w:pStyle w:val="679"/>
        <w:rPr>
          <w:highlight w:val="none"/>
        </w:rPr>
      </w:pPr>
      <w:r>
        <w:rPr>
          <w:highlight w:val="none"/>
        </w:rPr>
      </w:r>
      <w:r/>
    </w:p>
    <w:p>
      <w:pPr>
        <w:pStyle w:val="664"/>
        <w:rPr>
          <w:highlight w:val="none"/>
        </w:rPr>
      </w:pPr>
      <w:r>
        <w:rPr>
          <w:highlight w:val="none"/>
        </w:rPr>
      </w:r>
      <w:r/>
    </w:p>
    <w:p>
      <w:pPr>
        <w:pStyle w:val="679"/>
        <w:rPr>
          <w:highlight w:val="none"/>
        </w:rPr>
      </w:pPr>
      <w:r>
        <w:rPr>
          <w:highlight w:val="none"/>
        </w:rPr>
      </w:r>
      <w:r/>
    </w:p>
    <w:p>
      <w:pPr>
        <w:pStyle w:val="664"/>
        <w:rPr>
          <w:highlight w:val="none"/>
        </w:rPr>
      </w:pPr>
      <w:r>
        <w:rPr>
          <w:highlight w:val="none"/>
        </w:rPr>
      </w:r>
      <w:r/>
    </w:p>
    <w:p>
      <w:pPr>
        <w:pStyle w:val="679"/>
        <w:rPr>
          <w:highlight w:val="none"/>
        </w:rPr>
      </w:pPr>
      <w:r>
        <w:rPr>
          <w:highlight w:val="none"/>
        </w:rPr>
      </w:r>
      <w:r/>
    </w:p>
    <w:p>
      <w:pPr>
        <w:pStyle w:val="664"/>
        <w:rPr>
          <w:highlight w:val="none"/>
        </w:rPr>
      </w:pPr>
      <w:r>
        <w:rPr>
          <w:highlight w:val="none"/>
        </w:rPr>
      </w:r>
      <w:r/>
    </w:p>
    <w:p>
      <w:pPr>
        <w:pStyle w:val="679"/>
        <w:rPr>
          <w:highlight w:val="none"/>
        </w:rPr>
      </w:pPr>
      <w:r>
        <w:rPr>
          <w:highlight w:val="none"/>
        </w:rPr>
      </w:r>
      <w:r/>
    </w:p>
    <w:p>
      <w:pPr>
        <w:pStyle w:val="664"/>
        <w:rPr>
          <w:highlight w:val="none"/>
        </w:rPr>
      </w:pPr>
      <w:r>
        <w:rPr>
          <w:highlight w:val="none"/>
        </w:rPr>
      </w:r>
      <w:r/>
    </w:p>
    <w:p>
      <w:pPr>
        <w:pStyle w:val="679"/>
        <w:rPr>
          <w:highlight w:val="none"/>
        </w:rPr>
      </w:pPr>
      <w:r>
        <w:rPr>
          <w:highlight w:val="none"/>
        </w:rPr>
      </w:r>
      <w:r/>
    </w:p>
    <w:p>
      <w:pPr>
        <w:pStyle w:val="664"/>
        <w:rPr>
          <w:highlight w:val="none"/>
        </w:rPr>
      </w:pPr>
      <w:r>
        <w:rPr>
          <w:highlight w:val="none"/>
        </w:rPr>
      </w:r>
      <w:r/>
    </w:p>
    <w:p>
      <w:pPr>
        <w:pStyle w:val="679"/>
        <w:rPr>
          <w:rFonts w:hint="eastAsia"/>
          <w:highlight w:val="none"/>
        </w:rPr>
      </w:pPr>
      <w:r>
        <w:rPr>
          <w:rFonts w:hint="eastAsia"/>
          <w:highlight w:val="none"/>
        </w:rPr>
      </w:r>
      <w:r/>
    </w:p>
    <w:p>
      <w:pPr>
        <w:pStyle w:val="792"/>
        <w:rPr>
          <w:highlight w:val="none"/>
        </w:rPr>
        <w:outlineLvl w:val="2"/>
      </w:pPr>
      <w:r/>
      <w:bookmarkStart w:id="302" w:name="_Toc13376"/>
      <w:r/>
      <w:bookmarkStart w:id="303" w:name="_Toc29818"/>
      <w:r/>
      <w:bookmarkStart w:id="304" w:name="_Toc924"/>
      <w:r>
        <w:rPr>
          <w:rFonts w:hint="eastAsia" w:ascii="Times New Roman" w:hAnsi="Times New Roman" w:eastAsia="宋体" w:cs="Times New Roman"/>
          <w:highlight w:val="none"/>
        </w:rPr>
        <w:t xml:space="preserve">七</w:t>
      </w:r>
      <w:r>
        <w:rPr>
          <w:rFonts w:ascii="Times New Roman" w:hAnsi="Times New Roman" w:eastAsia="宋体" w:cs="Times New Roman"/>
          <w:highlight w:val="none"/>
        </w:rPr>
        <w:t xml:space="preserve">、</w:t>
      </w:r>
      <w:r>
        <w:rPr>
          <w:rFonts w:hint="eastAsia" w:ascii="Times New Roman" w:hAnsi="Times New Roman" w:eastAsia="宋体" w:cs="Times New Roman"/>
          <w:highlight w:val="none"/>
        </w:rPr>
        <w:t xml:space="preserve">技术响应偏离表</w:t>
      </w:r>
      <w:bookmarkEnd w:id="302"/>
      <w:r/>
      <w:bookmarkEnd w:id="303"/>
      <w:r/>
      <w:bookmarkEnd w:id="304"/>
      <w:r>
        <w:rPr>
          <w:highlight w:val="none"/>
        </w:rPr>
      </w:r>
      <w:r/>
    </w:p>
    <w:p>
      <w:pPr>
        <w:pStyle w:val="805"/>
        <w:jc w:val="center"/>
        <w:rPr>
          <w:sz w:val="32"/>
          <w:szCs w:val="32"/>
          <w:highlight w:val="none"/>
        </w:rPr>
      </w:pPr>
      <w:r>
        <w:rPr>
          <w:rFonts w:hint="eastAsia"/>
          <w:sz w:val="32"/>
          <w:szCs w:val="32"/>
          <w:highlight w:val="none"/>
        </w:rPr>
        <w:t xml:space="preserve">技术响应偏离表</w:t>
      </w:r>
      <w:r>
        <w:rPr>
          <w:sz w:val="32"/>
          <w:szCs w:val="32"/>
          <w:highlight w:val="none"/>
        </w:rPr>
      </w:r>
      <w:r/>
    </w:p>
    <w:tbl>
      <w:tblPr>
        <w:tblW w:w="88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0"/>
        <w:gridCol w:w="1935"/>
        <w:gridCol w:w="2565"/>
        <w:gridCol w:w="2152"/>
      </w:tblGrid>
      <w:tr>
        <w:trPr>
          <w:trHeight w:val="652"/>
        </w:trPr>
        <w:tc>
          <w:tcPr>
            <w:tcW w:w="2190" w:type="dxa"/>
            <w:vAlign w:val="center"/>
            <w:textDirection w:val="lrTb"/>
            <w:noWrap w:val="false"/>
          </w:tcPr>
          <w:p>
            <w:pPr>
              <w:pStyle w:val="816"/>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招标文件内容</w:t>
            </w:r>
            <w:r>
              <w:rPr>
                <w:rFonts w:hint="eastAsia" w:ascii="宋体" w:hAnsi="宋体" w:cs="宋体"/>
                <w:sz w:val="24"/>
                <w:highlight w:val="none"/>
              </w:rPr>
            </w:r>
            <w:r/>
          </w:p>
        </w:tc>
        <w:tc>
          <w:tcPr>
            <w:tcW w:w="1935" w:type="dxa"/>
            <w:vAlign w:val="center"/>
            <w:textDirection w:val="lrTb"/>
            <w:noWrap w:val="false"/>
          </w:tcPr>
          <w:p>
            <w:pPr>
              <w:pStyle w:val="816"/>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投标文件内容</w:t>
            </w:r>
            <w:r>
              <w:rPr>
                <w:rFonts w:hint="eastAsia" w:ascii="宋体" w:hAnsi="宋体" w:cs="宋体"/>
                <w:sz w:val="24"/>
                <w:highlight w:val="none"/>
              </w:rPr>
            </w:r>
            <w:r/>
          </w:p>
        </w:tc>
        <w:tc>
          <w:tcPr>
            <w:tcW w:w="2565" w:type="dxa"/>
            <w:vAlign w:val="center"/>
            <w:textDirection w:val="lrTb"/>
            <w:noWrap w:val="false"/>
          </w:tcPr>
          <w:p>
            <w:pPr>
              <w:pStyle w:val="816"/>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t xml:space="preserve">偏离内容及说明（正偏离、负偏离、无偏离）</w:t>
            </w:r>
            <w:r>
              <w:rPr>
                <w:rFonts w:hint="eastAsia" w:ascii="宋体" w:hAnsi="宋体" w:cs="宋体"/>
                <w:sz w:val="24"/>
                <w:highlight w:val="none"/>
              </w:rPr>
            </w:r>
            <w:r/>
          </w:p>
        </w:tc>
        <w:tc>
          <w:tcPr>
            <w:tcW w:w="2152" w:type="dxa"/>
            <w:vAlign w:val="center"/>
            <w:textDirection w:val="lrTb"/>
            <w:noWrap w:val="false"/>
          </w:tcPr>
          <w:p>
            <w:pPr>
              <w:pStyle w:val="816"/>
              <w:jc w:val="center"/>
              <w:spacing w:before="100" w:beforeAutospacing="1" w:line="360" w:lineRule="auto"/>
              <w:widowControl/>
              <w:rPr>
                <w:rFonts w:ascii="宋体" w:hAnsi="宋体" w:cs="宋体"/>
                <w:sz w:val="24"/>
                <w:highlight w:val="none"/>
              </w:rPr>
            </w:pPr>
            <w:r>
              <w:rPr>
                <w:rFonts w:hint="eastAsia" w:ascii="宋体" w:hAnsi="宋体" w:cs="宋体"/>
                <w:sz w:val="24"/>
                <w:highlight w:val="none"/>
              </w:rPr>
              <w:t xml:space="preserve">偏离内容及说明</w:t>
            </w:r>
            <w:r>
              <w:rPr>
                <w:rFonts w:ascii="宋体" w:hAnsi="宋体" w:cs="宋体"/>
                <w:sz w:val="24"/>
                <w:highlight w:val="none"/>
              </w:rPr>
            </w:r>
            <w:r/>
          </w:p>
        </w:tc>
      </w:tr>
      <w:tr>
        <w:trPr>
          <w:trHeight w:val="652"/>
        </w:trPr>
        <w:tc>
          <w:tcPr>
            <w:tcW w:w="2190" w:type="dxa"/>
            <w:vAlign w:val="center"/>
            <w:textDirection w:val="lrTb"/>
            <w:noWrap w:val="false"/>
          </w:tcPr>
          <w:p>
            <w:pPr>
              <w:pStyle w:val="816"/>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1935" w:type="dxa"/>
            <w:vAlign w:val="center"/>
            <w:textDirection w:val="lrTb"/>
            <w:noWrap w:val="false"/>
          </w:tcPr>
          <w:p>
            <w:pPr>
              <w:pStyle w:val="816"/>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2565" w:type="dxa"/>
            <w:vAlign w:val="center"/>
            <w:textDirection w:val="lrTb"/>
            <w:noWrap w:val="false"/>
          </w:tcPr>
          <w:p>
            <w:pPr>
              <w:pStyle w:val="816"/>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c>
          <w:tcPr>
            <w:tcW w:w="2152" w:type="dxa"/>
            <w:vAlign w:val="center"/>
            <w:textDirection w:val="lrTb"/>
            <w:noWrap w:val="false"/>
          </w:tcPr>
          <w:p>
            <w:pPr>
              <w:pStyle w:val="816"/>
              <w:jc w:val="center"/>
              <w:spacing w:before="100" w:beforeAutospacing="1" w:line="360" w:lineRule="auto"/>
              <w:widowControl/>
              <w:rPr>
                <w:rFonts w:hint="eastAsia" w:ascii="宋体" w:hAnsi="宋体" w:cs="宋体"/>
                <w:sz w:val="24"/>
                <w:highlight w:val="none"/>
              </w:rPr>
            </w:pPr>
            <w:r>
              <w:rPr>
                <w:rFonts w:hint="eastAsia" w:ascii="宋体" w:hAnsi="宋体" w:cs="宋体"/>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before="100" w:beforeAutospacing="1" w:line="360" w:lineRule="auto"/>
              <w:widowControl/>
              <w:rPr>
                <w:rFonts w:hint="eastAsia" w:ascii="仿宋" w:hAnsi="仿宋" w:eastAsia="仿宋"/>
                <w:sz w:val="24"/>
                <w:highlight w:val="none"/>
              </w:rPr>
            </w:pPr>
            <w:r>
              <w:rPr>
                <w:rFonts w:hint="eastAsia" w:ascii="仿宋" w:hAnsi="仿宋" w:eastAsia="仿宋"/>
                <w:sz w:val="24"/>
                <w:highlight w:val="none"/>
              </w:rPr>
            </w:r>
            <w:r/>
          </w:p>
        </w:tc>
        <w:tc>
          <w:tcPr>
            <w:tcW w:w="2152" w:type="dxa"/>
            <w:vAlign w:val="center"/>
            <w:textDirection w:val="lrTb"/>
            <w:noWrap w:val="false"/>
          </w:tcPr>
          <w:p>
            <w:pPr>
              <w:pStyle w:val="816"/>
              <w:ind w:firstLine="480"/>
              <w:jc w:val="center"/>
              <w:spacing w:before="100" w:beforeAutospacing="1" w:line="360" w:lineRule="auto"/>
              <w:widowControl/>
              <w:rPr>
                <w:rFonts w:hint="eastAsia" w:ascii="仿宋" w:hAnsi="仿宋" w:eastAsia="仿宋"/>
                <w:sz w:val="24"/>
                <w:highlight w:val="none"/>
              </w:rPr>
            </w:pPr>
            <w:r>
              <w:rPr>
                <w:rFonts w:hint="eastAsia"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r>
        <w:trPr>
          <w:trHeight w:val="650"/>
        </w:trPr>
        <w:tc>
          <w:tcPr>
            <w:tcW w:w="2190"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193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565"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c>
          <w:tcPr>
            <w:tcW w:w="2152" w:type="dxa"/>
            <w:vAlign w:val="center"/>
            <w:textDirection w:val="lrTb"/>
            <w:noWrap w:val="false"/>
          </w:tcPr>
          <w:p>
            <w:pPr>
              <w:pStyle w:val="816"/>
              <w:ind w:firstLine="480"/>
              <w:jc w:val="center"/>
              <w:spacing w:line="360" w:lineRule="auto"/>
              <w:rPr>
                <w:rFonts w:ascii="仿宋" w:hAnsi="仿宋" w:eastAsia="仿宋"/>
                <w:sz w:val="24"/>
                <w:highlight w:val="none"/>
              </w:rPr>
            </w:pPr>
            <w:r>
              <w:rPr>
                <w:rFonts w:ascii="仿宋" w:hAnsi="仿宋" w:eastAsia="仿宋"/>
                <w:sz w:val="24"/>
                <w:highlight w:val="none"/>
              </w:rPr>
            </w:r>
            <w:r/>
          </w:p>
        </w:tc>
      </w:tr>
    </w:tbl>
    <w:p>
      <w:pPr>
        <w:pStyle w:val="805"/>
        <w:jc w:val="right"/>
        <w:spacing w:line="560" w:lineRule="exact"/>
        <w:rPr>
          <w:rFonts w:hint="eastAsia" w:ascii="仿宋_GB2312" w:eastAsia="仿宋_GB2312"/>
          <w:sz w:val="28"/>
          <w:szCs w:val="28"/>
          <w:highlight w:val="none"/>
          <w:u w:val="singl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（电子签章） </w:t>
      </w:r>
      <w:r>
        <w:rPr>
          <w:rFonts w:hint="eastAsia" w:ascii="仿宋_GB2312" w:eastAsia="仿宋_GB2312"/>
          <w:sz w:val="28"/>
          <w:szCs w:val="28"/>
          <w:highlight w:val="none"/>
          <w:u w:val="single"/>
        </w:rPr>
      </w:r>
      <w:r/>
    </w:p>
    <w:p>
      <w:pPr>
        <w:pStyle w:val="807"/>
        <w:ind w:firstLine="482"/>
        <w:spacing w:line="360" w:lineRule="exact"/>
        <w:rPr>
          <w:rFonts w:hint="eastAsia" w:hAnsi="宋体"/>
          <w:b/>
          <w:bCs/>
          <w:sz w:val="24"/>
          <w:szCs w:val="28"/>
          <w:highlight w:val="none"/>
        </w:rPr>
      </w:pPr>
      <w:r>
        <w:rPr>
          <w:rFonts w:hint="eastAsia" w:hAnsi="宋体"/>
          <w:b/>
          <w:bCs/>
          <w:sz w:val="24"/>
          <w:szCs w:val="28"/>
          <w:highlight w:val="none"/>
        </w:rPr>
        <w:t xml:space="preserve">备注：1.投标人针对本项评分内容在响应文件《技术响应偏离表》中逐条列出响应及偏离情况，采购需求中要求提供证明材料的，以证明材料为准；若《技术响应偏离表》填写情况与提供证明材料的内容不一致，以证明材料为准；采购需求中未要求提供证明材料的，以《技术响应偏离表》为准。未按要求提供证明材料或提供的证明材料不全或未在响应偏离表中列明偏离情况的对应项按负偏离进行扣分处理。</w:t>
      </w:r>
      <w:r>
        <w:rPr>
          <w:rFonts w:hint="eastAsia" w:hAnsi="宋体"/>
          <w:b/>
          <w:bCs/>
          <w:sz w:val="24"/>
          <w:szCs w:val="28"/>
          <w:highlight w:val="none"/>
        </w:rPr>
      </w:r>
      <w:r/>
    </w:p>
    <w:p>
      <w:pPr>
        <w:pStyle w:val="807"/>
        <w:ind w:firstLine="482"/>
        <w:spacing w:line="360" w:lineRule="exact"/>
        <w:rPr>
          <w:rFonts w:hint="eastAsia" w:hAnsi="宋体"/>
          <w:b/>
          <w:bCs/>
          <w:sz w:val="24"/>
          <w:szCs w:val="28"/>
          <w:highlight w:val="none"/>
        </w:rPr>
      </w:pPr>
      <w:r>
        <w:rPr>
          <w:rFonts w:hint="eastAsia" w:hAnsi="宋体"/>
          <w:b/>
          <w:bCs/>
          <w:sz w:val="24"/>
          <w:szCs w:val="28"/>
          <w:highlight w:val="none"/>
        </w:rPr>
        <w:t xml:space="preserve">2.行数不够，可自行添加。</w:t>
      </w:r>
      <w:r>
        <w:rPr>
          <w:rFonts w:hint="eastAsia" w:hAnsi="宋体"/>
          <w:b/>
          <w:bCs/>
          <w:sz w:val="24"/>
          <w:szCs w:val="28"/>
          <w:highlight w:val="none"/>
        </w:rPr>
      </w:r>
      <w:r/>
    </w:p>
    <w:p>
      <w:pPr>
        <w:pStyle w:val="807"/>
        <w:spacing w:line="360" w:lineRule="exact"/>
        <w:rPr>
          <w:rFonts w:hint="eastAsia" w:hAnsi="宋体"/>
          <w:b/>
          <w:bCs/>
          <w:sz w:val="24"/>
          <w:szCs w:val="28"/>
          <w:highlight w:val="none"/>
        </w:rPr>
      </w:pPr>
      <w:r>
        <w:rPr>
          <w:rFonts w:hint="eastAsia" w:hAnsi="宋体"/>
          <w:b/>
          <w:bCs/>
          <w:sz w:val="24"/>
          <w:szCs w:val="28"/>
          <w:highlight w:val="none"/>
        </w:rPr>
      </w:r>
      <w:r/>
    </w:p>
    <w:p>
      <w:pPr>
        <w:pStyle w:val="807"/>
        <w:spacing w:line="360" w:lineRule="exact"/>
        <w:rPr>
          <w:rFonts w:hint="eastAsia" w:hAnsi="宋体"/>
          <w:b/>
          <w:bCs/>
          <w:sz w:val="24"/>
          <w:szCs w:val="28"/>
          <w:highlight w:val="none"/>
        </w:rPr>
      </w:pPr>
      <w:r>
        <w:rPr>
          <w:rFonts w:hint="eastAsia" w:hAnsi="宋体"/>
          <w:b/>
          <w:bCs/>
          <w:sz w:val="24"/>
          <w:szCs w:val="28"/>
          <w:highlight w:val="none"/>
        </w:rPr>
      </w:r>
      <w:r/>
    </w:p>
    <w:p>
      <w:pPr>
        <w:pStyle w:val="807"/>
        <w:spacing w:line="360" w:lineRule="exact"/>
        <w:rPr>
          <w:rFonts w:hint="eastAsia" w:hAnsi="宋体"/>
          <w:b/>
          <w:bCs/>
          <w:sz w:val="24"/>
          <w:szCs w:val="28"/>
          <w:highlight w:val="none"/>
        </w:rPr>
      </w:pPr>
      <w:r>
        <w:rPr>
          <w:rFonts w:hint="eastAsia" w:hAnsi="宋体"/>
          <w:b/>
          <w:bCs/>
          <w:sz w:val="24"/>
          <w:szCs w:val="28"/>
          <w:highlight w:val="none"/>
        </w:rPr>
      </w:r>
      <w:r/>
    </w:p>
    <w:p>
      <w:pPr>
        <w:pStyle w:val="807"/>
        <w:spacing w:line="360" w:lineRule="exact"/>
        <w:rPr>
          <w:rFonts w:hint="eastAsia" w:hAnsi="宋体"/>
          <w:b/>
          <w:bCs/>
          <w:sz w:val="24"/>
          <w:szCs w:val="28"/>
          <w:highlight w:val="none"/>
        </w:rPr>
      </w:pPr>
      <w:r>
        <w:rPr>
          <w:rFonts w:hint="eastAsia" w:hAnsi="宋体"/>
          <w:b/>
          <w:bCs/>
          <w:sz w:val="24"/>
          <w:szCs w:val="28"/>
          <w:highlight w:val="none"/>
        </w:rPr>
      </w:r>
      <w:r/>
    </w:p>
    <w:p>
      <w:pPr>
        <w:pStyle w:val="807"/>
        <w:spacing w:line="360" w:lineRule="exact"/>
        <w:rPr>
          <w:rFonts w:hint="eastAsia" w:hAnsi="宋体"/>
          <w:b/>
          <w:bCs/>
          <w:sz w:val="24"/>
          <w:szCs w:val="28"/>
          <w:highlight w:val="none"/>
        </w:rPr>
      </w:pPr>
      <w:r>
        <w:rPr>
          <w:rFonts w:hint="eastAsia" w:hAnsi="宋体"/>
          <w:b/>
          <w:bCs/>
          <w:sz w:val="24"/>
          <w:szCs w:val="28"/>
          <w:highlight w:val="none"/>
        </w:rPr>
      </w:r>
      <w:r/>
    </w:p>
    <w:p>
      <w:pPr>
        <w:pStyle w:val="807"/>
        <w:spacing w:line="360" w:lineRule="exact"/>
        <w:rPr>
          <w:rFonts w:hint="eastAsia" w:hAnsi="宋体"/>
          <w:b/>
          <w:bCs/>
          <w:sz w:val="24"/>
          <w:szCs w:val="28"/>
          <w:highlight w:val="none"/>
        </w:rPr>
      </w:pPr>
      <w:r>
        <w:rPr>
          <w:rFonts w:hint="eastAsia" w:hAnsi="宋体"/>
          <w:b/>
          <w:bCs/>
          <w:sz w:val="24"/>
          <w:szCs w:val="28"/>
          <w:highlight w:val="none"/>
        </w:rPr>
      </w:r>
      <w:r/>
    </w:p>
    <w:p>
      <w:pPr>
        <w:pStyle w:val="785"/>
        <w:rPr>
          <w:rFonts w:ascii="Times New Roman" w:hAnsi="Times New Roman"/>
          <w:highlight w:val="none"/>
        </w:rPr>
        <w:outlineLvl w:val="2"/>
      </w:pPr>
      <w:r/>
      <w:bookmarkStart w:id="305" w:name="_Toc16735"/>
      <w:r/>
      <w:bookmarkStart w:id="306" w:name="_Toc3735"/>
      <w:r/>
      <w:bookmarkStart w:id="307" w:name="_Toc20183"/>
      <w:r>
        <w:rPr>
          <w:rFonts w:hint="eastAsia" w:ascii="Times New Roman" w:hAnsi="Times New Roman"/>
          <w:highlight w:val="none"/>
        </w:rPr>
        <w:t xml:space="preserve">八、</w:t>
      </w:r>
      <w:r>
        <w:rPr>
          <w:rFonts w:ascii="Times New Roman" w:hAnsi="Times New Roman"/>
          <w:highlight w:val="none"/>
        </w:rPr>
        <w:t xml:space="preserve">项目组人员</w:t>
      </w:r>
      <w:bookmarkEnd w:id="305"/>
      <w:r/>
      <w:bookmarkEnd w:id="306"/>
      <w:r/>
      <w:bookmarkEnd w:id="307"/>
      <w:r>
        <w:rPr>
          <w:rFonts w:ascii="Times New Roman" w:hAnsi="Times New Roman"/>
          <w:highlight w:val="none"/>
        </w:rPr>
      </w:r>
      <w:r/>
    </w:p>
    <w:p>
      <w:pPr>
        <w:pStyle w:val="726"/>
        <w:jc w:val="center"/>
        <w:spacing w:line="600" w:lineRule="exact"/>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项目组人员</w:t>
      </w:r>
      <w:r>
        <w:rPr>
          <w:rFonts w:ascii="Times New Roman" w:hAnsi="Times New Roman"/>
          <w:b/>
          <w:bCs/>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53"/>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姓名</w:t>
            </w:r>
            <w:r>
              <w:rPr>
                <w:rFonts w:eastAsia="仿宋_GB2312" w:cs="仿宋_GB2312"/>
                <w:sz w:val="28"/>
                <w:szCs w:val="28"/>
                <w:highlight w:val="none"/>
              </w:rPr>
            </w:r>
            <w:r/>
          </w:p>
        </w:tc>
        <w:tc>
          <w:tcPr>
            <w:tcW w:w="1843" w:type="dxa"/>
            <w:vAlign w:val="center"/>
            <w:textDirection w:val="lrTb"/>
            <w:noWrap w:val="false"/>
          </w:tcPr>
          <w:p>
            <w:pPr>
              <w:pStyle w:val="753"/>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职务</w:t>
            </w:r>
            <w:r>
              <w:rPr>
                <w:rFonts w:eastAsia="仿宋_GB2312" w:cs="仿宋_GB2312"/>
                <w:sz w:val="28"/>
                <w:szCs w:val="28"/>
                <w:highlight w:val="none"/>
              </w:rPr>
            </w:r>
            <w:r/>
          </w:p>
        </w:tc>
        <w:tc>
          <w:tcPr>
            <w:tcW w:w="992" w:type="dxa"/>
            <w:vAlign w:val="center"/>
            <w:textDirection w:val="lrTb"/>
            <w:noWrap w:val="false"/>
          </w:tcPr>
          <w:p>
            <w:pPr>
              <w:pStyle w:val="753"/>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学历</w:t>
            </w:r>
            <w:r>
              <w:rPr>
                <w:rFonts w:eastAsia="仿宋_GB2312" w:cs="仿宋_GB2312"/>
                <w:sz w:val="28"/>
                <w:szCs w:val="28"/>
                <w:highlight w:val="none"/>
              </w:rPr>
            </w:r>
            <w:r/>
          </w:p>
        </w:tc>
        <w:tc>
          <w:tcPr>
            <w:tcW w:w="1984" w:type="dxa"/>
            <w:vAlign w:val="center"/>
            <w:textDirection w:val="lrTb"/>
            <w:noWrap w:val="false"/>
          </w:tcPr>
          <w:p>
            <w:pPr>
              <w:pStyle w:val="753"/>
              <w:ind w:firstLine="280"/>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身份证号</w:t>
            </w:r>
            <w:r>
              <w:rPr>
                <w:rFonts w:eastAsia="仿宋_GB2312" w:cs="仿宋_GB2312"/>
                <w:sz w:val="28"/>
                <w:szCs w:val="28"/>
                <w:highlight w:val="none"/>
              </w:rPr>
            </w:r>
            <w:r/>
          </w:p>
        </w:tc>
        <w:tc>
          <w:tcPr>
            <w:tcW w:w="1702" w:type="dxa"/>
            <w:vAlign w:val="center"/>
            <w:textDirection w:val="lrTb"/>
            <w:noWrap w:val="false"/>
          </w:tcPr>
          <w:p>
            <w:pPr>
              <w:pStyle w:val="753"/>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相关证书</w:t>
            </w:r>
            <w:r>
              <w:rPr>
                <w:rFonts w:eastAsia="仿宋_GB2312" w:cs="仿宋_GB2312"/>
                <w:sz w:val="28"/>
                <w:szCs w:val="28"/>
                <w:highlight w:val="none"/>
              </w:rPr>
            </w:r>
            <w:r/>
          </w:p>
        </w:tc>
        <w:tc>
          <w:tcPr>
            <w:tcW w:w="962" w:type="dxa"/>
            <w:vAlign w:val="center"/>
            <w:textDirection w:val="lrTb"/>
            <w:noWrap w:val="false"/>
          </w:tcPr>
          <w:p>
            <w:pPr>
              <w:pStyle w:val="753"/>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备注</w:t>
            </w: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26"/>
              <w:jc w:val="center"/>
              <w:rPr>
                <w:rFonts w:hint="eastAsia" w:ascii="Times New Roman" w:hAnsi="Times New Roman" w:eastAsia="仿宋_GB2312"/>
                <w:sz w:val="20"/>
                <w:szCs w:val="20"/>
                <w:highlight w:val="none"/>
              </w:rPr>
              <w:framePr w:vAnchor="page" w:hAnchor="page" w:xAlign="center" w:y="74"/>
            </w:pPr>
            <w:r>
              <w:rPr>
                <w:rFonts w:hint="eastAsia" w:ascii="Times New Roman" w:hAnsi="Times New Roman" w:eastAsia="仿宋_GB2312" w:cs="仿宋_GB2312"/>
                <w:sz w:val="28"/>
                <w:szCs w:val="28"/>
                <w:highlight w:val="none"/>
                <w:lang w:bidi="ar"/>
              </w:rPr>
              <w:t xml:space="preserve">项目负责人</w:t>
            </w:r>
            <w:r>
              <w:rPr>
                <w:rFonts w:hint="eastAsia" w:ascii="Times New Roman" w:hAnsi="Times New Roman" w:eastAsia="仿宋_GB2312"/>
                <w:sz w:val="20"/>
                <w:szCs w:val="20"/>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26"/>
              <w:jc w:val="center"/>
              <w:rPr>
                <w:rFonts w:hint="eastAsia"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lang w:bidi="ar"/>
              </w:rPr>
              <w:t xml:space="preserve">......</w:t>
            </w:r>
            <w:r>
              <w:rPr>
                <w:rFonts w:hint="eastAsia" w:ascii="Times New Roman" w:hAnsi="Times New Roman"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26"/>
              <w:ind w:firstLine="280"/>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lang w:bidi="ar"/>
              </w:rPr>
              <w:t xml:space="preserve">......</w:t>
            </w: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26"/>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26"/>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753"/>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bl>
    <w:p>
      <w:pPr>
        <w:pStyle w:val="726"/>
        <w:ind w:firstLine="398"/>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w:t>
      </w:r>
      <w:r>
        <w:rPr>
          <w:rFonts w:hint="eastAsia" w:ascii="Times New Roman" w:hAnsi="Times New Roman" w:eastAsia="仿宋_GB2312" w:cs="仿宋_GB2312"/>
          <w:b/>
          <w:highlight w:val="none"/>
          <w:lang w:bidi="ar"/>
        </w:rPr>
        <w:t xml:space="preserve">人</w:t>
      </w:r>
      <w:r>
        <w:rPr>
          <w:rFonts w:ascii="Times New Roman" w:hAnsi="Times New Roman" w:eastAsia="仿宋_GB2312" w:cs="仿宋_GB2312"/>
          <w:b/>
          <w:highlight w:val="none"/>
          <w:lang w:bidi="ar"/>
        </w:rPr>
        <w:t xml:space="preserve">员必须按本表承诺人员操作，不得随意更换。按</w:t>
      </w:r>
      <w:r>
        <w:rPr>
          <w:rFonts w:hint="eastAsia" w:ascii="Times New Roman" w:hAnsi="Times New Roman" w:eastAsia="仿宋_GB2312" w:cs="仿宋_GB2312"/>
          <w:b/>
          <w:highlight w:val="none"/>
          <w:lang w:bidi="ar"/>
        </w:rPr>
        <w:t xml:space="preserve">招标</w:t>
      </w:r>
      <w:r>
        <w:rPr>
          <w:rFonts w:ascii="Times New Roman" w:hAnsi="Times New Roman" w:eastAsia="仿宋_GB2312" w:cs="仿宋_GB2312"/>
          <w:b/>
          <w:highlight w:val="none"/>
          <w:lang w:bidi="ar"/>
        </w:rPr>
        <w:t xml:space="preserve">文件要求附相关人员证书。</w:t>
      </w:r>
      <w:r>
        <w:rPr>
          <w:rFonts w:ascii="Times New Roman" w:hAnsi="Times New Roman" w:eastAsia="仿宋_GB2312" w:cs="仿宋_GB2312"/>
          <w:highlight w:val="none"/>
        </w:rPr>
      </w:r>
      <w:r/>
    </w:p>
    <w:p>
      <w:pPr>
        <w:pStyle w:val="726"/>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769"/>
        <w:spacing w:line="500" w:lineRule="exact"/>
        <w:rPr>
          <w:highlight w:val="none"/>
        </w:rPr>
        <w:outlineLvl w:val="2"/>
      </w:pPr>
      <w:r>
        <w:rPr>
          <w:highlight w:val="none"/>
        </w:rPr>
        <w:br w:type="page" w:clear="all"/>
      </w:r>
      <w:bookmarkStart w:id="308" w:name="_Toc11176"/>
      <w:r/>
      <w:bookmarkStart w:id="309" w:name="_Toc28792"/>
      <w:r>
        <w:rPr>
          <w:rFonts w:hint="eastAsia" w:eastAsia="黑体" w:cs="黑体"/>
          <w:b/>
          <w:sz w:val="32"/>
          <w:highlight w:val="none"/>
        </w:rPr>
        <w:t xml:space="preserve">九、</w:t>
      </w:r>
      <w:bookmarkEnd w:id="308"/>
      <w:r>
        <w:rPr>
          <w:rFonts w:hint="eastAsia" w:eastAsia="黑体" w:cs="黑体"/>
          <w:b/>
          <w:sz w:val="32"/>
          <w:highlight w:val="none"/>
        </w:rPr>
        <w:t xml:space="preserve">企业业绩</w:t>
      </w:r>
      <w:bookmarkEnd w:id="309"/>
      <w:r>
        <w:rPr>
          <w:highlight w:val="none"/>
        </w:rPr>
      </w:r>
      <w:r/>
    </w:p>
    <w:p>
      <w:pPr>
        <w:pStyle w:val="755"/>
        <w:jc w:val="center"/>
        <w:rPr>
          <w:rFonts w:ascii="Times New Roman" w:hAnsi="Times New Roman"/>
          <w:b/>
          <w:sz w:val="32"/>
          <w:szCs w:val="32"/>
          <w:highlight w:val="none"/>
        </w:rPr>
      </w:pPr>
      <w:r>
        <w:rPr>
          <w:rFonts w:hint="eastAsia" w:ascii="Times New Roman" w:hAnsi="Times New Roman"/>
          <w:b/>
          <w:sz w:val="32"/>
          <w:szCs w:val="32"/>
          <w:highlight w:val="none"/>
        </w:rPr>
        <w:t xml:space="preserve">投标人承担类似项目业绩一览表</w:t>
      </w:r>
      <w:r>
        <w:rPr>
          <w:rFonts w:ascii="Times New Roman" w:hAnsi="Times New Roman"/>
          <w:b/>
          <w:sz w:val="32"/>
          <w:szCs w:val="32"/>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48"/>
              <w:jc w:val="center"/>
              <w:spacing w:line="560" w:lineRule="exact"/>
              <w:rPr>
                <w:rFonts w:eastAsia="仿宋_GB2312"/>
                <w:sz w:val="28"/>
                <w:szCs w:val="28"/>
                <w:highlight w:val="none"/>
              </w:rPr>
            </w:pPr>
            <w:r>
              <w:rPr>
                <w:rFonts w:hint="eastAsia" w:eastAsia="仿宋_GB2312"/>
                <w:sz w:val="28"/>
                <w:szCs w:val="28"/>
                <w:highlight w:val="none"/>
              </w:rPr>
              <w:t xml:space="preserve">序号</w:t>
            </w:r>
            <w:r>
              <w:rPr>
                <w:rFonts w:eastAsia="仿宋_GB2312"/>
                <w:sz w:val="28"/>
                <w:szCs w:val="28"/>
                <w:highlight w:val="none"/>
              </w:rPr>
            </w:r>
            <w:r/>
          </w:p>
        </w:tc>
        <w:tc>
          <w:tcPr>
            <w:tcW w:w="3827" w:type="dxa"/>
            <w:vAlign w:val="center"/>
            <w:textDirection w:val="lrTb"/>
            <w:noWrap w:val="false"/>
          </w:tcPr>
          <w:p>
            <w:pPr>
              <w:pStyle w:val="748"/>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rPr>
                <w:rFonts w:eastAsia="仿宋_GB2312"/>
                <w:sz w:val="28"/>
                <w:szCs w:val="28"/>
                <w:highlight w:val="none"/>
              </w:rPr>
            </w:r>
            <w:r/>
          </w:p>
        </w:tc>
        <w:tc>
          <w:tcPr>
            <w:tcW w:w="2433" w:type="dxa"/>
            <w:vAlign w:val="center"/>
            <w:textDirection w:val="lrTb"/>
            <w:noWrap w:val="false"/>
          </w:tcPr>
          <w:p>
            <w:pPr>
              <w:pStyle w:val="748"/>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rPr>
                <w:rFonts w:eastAsia="仿宋_GB2312"/>
                <w:sz w:val="28"/>
                <w:szCs w:val="28"/>
                <w:highlight w:val="none"/>
              </w:rPr>
            </w:r>
            <w:r/>
          </w:p>
        </w:tc>
        <w:tc>
          <w:tcPr>
            <w:tcW w:w="1395" w:type="dxa"/>
            <w:vAlign w:val="center"/>
            <w:textDirection w:val="lrTb"/>
            <w:noWrap w:val="false"/>
          </w:tcPr>
          <w:p>
            <w:pPr>
              <w:pStyle w:val="748"/>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rPr>
                <w:rFonts w:eastAsia="仿宋_GB2312"/>
                <w:sz w:val="28"/>
                <w:szCs w:val="28"/>
                <w:highlight w:val="none"/>
              </w:rPr>
            </w:r>
            <w:r/>
          </w:p>
        </w:tc>
      </w:tr>
      <w:tr>
        <w:trPr>
          <w:trHeight w:val="1510"/>
        </w:trPr>
        <w:tc>
          <w:tcPr>
            <w:tcW w:w="1229" w:type="dxa"/>
            <w:vAlign w:val="top"/>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r>
      <w:tr>
        <w:trPr>
          <w:trHeight w:val="1525"/>
        </w:trPr>
        <w:tc>
          <w:tcPr>
            <w:tcW w:w="1229" w:type="dxa"/>
            <w:vAlign w:val="top"/>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748"/>
              <w:jc w:val="center"/>
              <w:spacing w:line="560" w:lineRule="exact"/>
              <w:rPr>
                <w:rFonts w:eastAsia="仿宋_GB2312"/>
                <w:sz w:val="28"/>
                <w:highlight w:val="none"/>
              </w:rPr>
            </w:pPr>
            <w:r>
              <w:rPr>
                <w:rFonts w:eastAsia="仿宋_GB2312"/>
                <w:sz w:val="28"/>
                <w:highlight w:val="none"/>
              </w:rPr>
            </w:r>
            <w:r/>
          </w:p>
        </w:tc>
      </w:tr>
    </w:tbl>
    <w:p>
      <w:pPr>
        <w:pStyle w:val="755"/>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rPr>
          <w:rFonts w:ascii="Times New Roman" w:hAnsi="Times New Roman"/>
          <w:highlight w:val="none"/>
        </w:rPr>
      </w:r>
      <w:r/>
    </w:p>
    <w:p>
      <w:pPr>
        <w:pStyle w:val="778"/>
        <w:rPr>
          <w:rFonts w:ascii="Times New Roman" w:hAnsi="Times New Roman"/>
          <w:highlight w:val="none"/>
        </w:rPr>
        <w:outlineLvl w:val="2"/>
      </w:pPr>
      <w:r>
        <w:rPr>
          <w:rFonts w:ascii="Times New Roman" w:hAnsi="Times New Roman"/>
          <w:highlight w:val="none"/>
        </w:rPr>
        <w:br w:type="page" w:clear="all"/>
      </w:r>
      <w:bookmarkStart w:id="310" w:name="_Toc21098"/>
      <w:r/>
      <w:bookmarkStart w:id="311" w:name="_Toc8029"/>
      <w:r/>
      <w:bookmarkStart w:id="312" w:name="_Toc28140"/>
      <w:r/>
      <w:bookmarkStart w:id="313" w:name="_Toc27122"/>
      <w:r>
        <w:rPr>
          <w:rFonts w:hint="eastAsia" w:ascii="Times New Roman" w:hAnsi="Times New Roman"/>
          <w:highlight w:val="none"/>
        </w:rPr>
        <w:t xml:space="preserve">十</w:t>
      </w:r>
      <w:r>
        <w:rPr>
          <w:rFonts w:ascii="Times New Roman" w:hAnsi="Times New Roman"/>
          <w:highlight w:val="none"/>
        </w:rPr>
        <w:t xml:space="preserve">、投标所需其他材料</w:t>
      </w:r>
      <w:bookmarkEnd w:id="310"/>
      <w:r/>
      <w:bookmarkEnd w:id="311"/>
      <w:r/>
      <w:bookmarkEnd w:id="312"/>
      <w:r/>
      <w:bookmarkEnd w:id="313"/>
      <w:r>
        <w:rPr>
          <w:rFonts w:ascii="Times New Roman" w:hAnsi="Times New Roman"/>
          <w:highlight w:val="none"/>
        </w:rPr>
      </w:r>
      <w:r/>
    </w:p>
    <w:p>
      <w:pPr>
        <w:pStyle w:val="747"/>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highlight w:val="none"/>
        </w:rPr>
      </w:r>
      <w:r/>
    </w:p>
    <w:p>
      <w:pPr>
        <w:pStyle w:val="664"/>
        <w:rPr>
          <w:sz w:val="20"/>
          <w:highlight w:val="none"/>
        </w:rPr>
      </w:pPr>
      <w:r>
        <w:rPr>
          <w:rFonts w:hint="eastAsia"/>
          <w:sz w:val="20"/>
          <w:highlight w:val="none"/>
        </w:rPr>
        <w:t xml:space="preserve"> </w:t>
      </w:r>
      <w:r>
        <w:rPr>
          <w:sz w:val="20"/>
          <w:highlight w:val="none"/>
        </w:rPr>
      </w:r>
      <w:r/>
    </w:p>
    <w:p>
      <w:pPr>
        <w:pStyle w:val="664"/>
        <w:rPr>
          <w:highlight w:val="none"/>
        </w:rPr>
      </w:pPr>
      <w:r>
        <w:rPr>
          <w:highlight w:val="none"/>
        </w:rPr>
      </w:r>
      <w:r/>
    </w:p>
    <w:p>
      <w:pPr>
        <w:pStyle w:val="664"/>
        <w:rPr>
          <w:rFonts w:hint="eastAsia" w:eastAsia="黑体"/>
          <w:sz w:val="32"/>
          <w:highlight w:val="none"/>
        </w:rPr>
      </w:pPr>
      <w:r>
        <w:rPr>
          <w:rFonts w:hint="eastAsia" w:eastAsia="黑体"/>
          <w:sz w:val="32"/>
          <w:highlight w:val="none"/>
        </w:rPr>
      </w:r>
      <w:r/>
    </w:p>
    <w:p>
      <w:pPr>
        <w:pStyle w:val="664"/>
        <w:rPr>
          <w:rFonts w:hint="eastAsia" w:eastAsia="黑体"/>
          <w:sz w:val="32"/>
          <w:highlight w:val="none"/>
        </w:rPr>
      </w:pPr>
      <w:r>
        <w:rPr>
          <w:rFonts w:hint="eastAsia" w:eastAsia="黑体"/>
          <w:sz w:val="32"/>
          <w:highlight w:val="none"/>
        </w:rPr>
      </w:r>
      <w:r/>
    </w:p>
    <w:p>
      <w:pPr>
        <w:pStyle w:val="664"/>
        <w:rPr>
          <w:rFonts w:hint="eastAsia" w:eastAsia="黑体"/>
          <w:sz w:val="32"/>
          <w:highlight w:val="none"/>
        </w:rPr>
      </w:pPr>
      <w:r>
        <w:rPr>
          <w:rFonts w:hint="eastAsia" w:eastAsia="黑体"/>
          <w:sz w:val="32"/>
          <w:highlight w:val="none"/>
        </w:rPr>
      </w:r>
      <w:r/>
    </w:p>
    <w:p>
      <w:pPr>
        <w:pStyle w:val="664"/>
        <w:rPr>
          <w:rFonts w:hint="eastAsia" w:eastAsia="黑体"/>
          <w:sz w:val="32"/>
          <w:highlight w:val="none"/>
        </w:rPr>
      </w:pPr>
      <w:r>
        <w:rPr>
          <w:rFonts w:hint="eastAsia" w:eastAsia="黑体"/>
          <w:sz w:val="32"/>
          <w:highlight w:val="none"/>
        </w:rPr>
      </w:r>
      <w:r/>
    </w:p>
    <w:p>
      <w:pPr>
        <w:pStyle w:val="664"/>
        <w:spacing w:line="480" w:lineRule="auto"/>
        <w:rPr>
          <w:rFonts w:hint="eastAsia"/>
          <w:sz w:val="24"/>
          <w:highlight w:val="none"/>
        </w:rPr>
      </w:pPr>
      <w:r/>
      <w:bookmarkEnd w:id="291"/>
      <w:r>
        <w:rPr>
          <w:rFonts w:hint="eastAsia"/>
          <w:sz w:val="24"/>
          <w:highlight w:val="none"/>
        </w:rPr>
      </w:r>
      <w:r/>
    </w:p>
    <w:p>
      <w:pPr>
        <w:pStyle w:val="664"/>
        <w:spacing w:line="480" w:lineRule="auto"/>
        <w:rPr>
          <w:rFonts w:hint="eastAsia"/>
          <w:sz w:val="30"/>
          <w:highlight w:val="none"/>
        </w:rPr>
      </w:pPr>
      <w:r>
        <w:rPr>
          <w:rFonts w:hint="eastAsia"/>
          <w:sz w:val="30"/>
          <w:highlight w:val="none"/>
        </w:rPr>
      </w:r>
      <w:r/>
    </w:p>
    <w:p>
      <w:pPr>
        <w:pStyle w:val="679"/>
        <w:ind w:firstLine="0"/>
        <w:rPr>
          <w:rFonts w:hint="eastAsia"/>
          <w:sz w:val="24"/>
          <w:highlight w:val="none"/>
        </w:rPr>
      </w:pPr>
      <w:r/>
      <w:bookmarkStart w:id="314" w:name="_Hlt26671374"/>
      <w:r/>
      <w:bookmarkEnd w:id="314"/>
      <w:r/>
      <w:bookmarkStart w:id="315" w:name="_Hlt26609389"/>
      <w:r/>
      <w:bookmarkEnd w:id="315"/>
      <w:r/>
      <w:bookmarkStart w:id="316" w:name="_Hlt26955066"/>
      <w:r/>
      <w:bookmarkEnd w:id="316"/>
      <w:r/>
      <w:bookmarkStart w:id="317" w:name="_Toc462564146"/>
      <w:r>
        <w:rPr>
          <w:rFonts w:hint="eastAsia"/>
          <w:sz w:val="24"/>
          <w:highlight w:val="none"/>
        </w:rPr>
      </w:r>
      <w:r/>
    </w:p>
    <w:p>
      <w:pPr>
        <w:pStyle w:val="664"/>
        <w:rPr>
          <w:rFonts w:hint="eastAsia"/>
          <w:sz w:val="24"/>
          <w:highlight w:val="none"/>
        </w:rPr>
      </w:pPr>
      <w:r>
        <w:rPr>
          <w:rFonts w:hint="eastAsia"/>
          <w:sz w:val="24"/>
          <w:highlight w:val="none"/>
        </w:rPr>
      </w:r>
      <w:r/>
    </w:p>
    <w:p>
      <w:pPr>
        <w:pStyle w:val="745"/>
        <w:ind w:firstLine="480"/>
        <w:rPr>
          <w:rFonts w:hint="eastAsia" w:ascii="Times New Roman" w:hAnsi="Times New Roman"/>
          <w:sz w:val="24"/>
          <w:highlight w:val="none"/>
        </w:rPr>
      </w:pPr>
      <w:r>
        <w:rPr>
          <w:rFonts w:hint="eastAsia" w:ascii="Times New Roman" w:hAnsi="Times New Roman"/>
          <w:sz w:val="24"/>
          <w:highlight w:val="none"/>
        </w:rPr>
      </w:r>
      <w:r/>
    </w:p>
    <w:p>
      <w:pPr>
        <w:pStyle w:val="745"/>
        <w:ind w:firstLine="480"/>
        <w:rPr>
          <w:rFonts w:hint="eastAsia" w:ascii="Times New Roman" w:hAnsi="Times New Roman"/>
          <w:sz w:val="24"/>
          <w:highlight w:val="none"/>
        </w:rPr>
      </w:pPr>
      <w:r>
        <w:rPr>
          <w:rFonts w:hint="eastAsia" w:ascii="Times New Roman" w:hAnsi="Times New Roman"/>
          <w:sz w:val="24"/>
          <w:highlight w:val="none"/>
        </w:rPr>
      </w:r>
      <w:r/>
    </w:p>
    <w:p>
      <w:pPr>
        <w:pStyle w:val="745"/>
        <w:ind w:firstLine="480"/>
        <w:rPr>
          <w:rFonts w:hint="eastAsia" w:ascii="Times New Roman" w:hAnsi="Times New Roman"/>
          <w:sz w:val="24"/>
          <w:highlight w:val="none"/>
        </w:rPr>
      </w:pPr>
      <w:r>
        <w:rPr>
          <w:rFonts w:hint="eastAsia" w:ascii="Times New Roman" w:hAnsi="Times New Roman"/>
          <w:sz w:val="24"/>
          <w:highlight w:val="none"/>
        </w:rPr>
      </w:r>
      <w:r/>
    </w:p>
    <w:p>
      <w:pPr>
        <w:pStyle w:val="745"/>
        <w:ind w:firstLine="480"/>
        <w:rPr>
          <w:rFonts w:hint="eastAsia" w:ascii="Times New Roman" w:hAnsi="Times New Roman"/>
          <w:sz w:val="24"/>
          <w:highlight w:val="none"/>
        </w:rPr>
      </w:pPr>
      <w:r>
        <w:rPr>
          <w:rFonts w:hint="eastAsia" w:ascii="Times New Roman" w:hAnsi="Times New Roman"/>
          <w:sz w:val="24"/>
          <w:highlight w:val="none"/>
        </w:rPr>
      </w:r>
      <w:r/>
    </w:p>
    <w:p>
      <w:pPr>
        <w:pStyle w:val="745"/>
        <w:ind w:firstLine="480"/>
        <w:rPr>
          <w:rFonts w:hint="eastAsia" w:ascii="Times New Roman" w:hAnsi="Times New Roman"/>
          <w:sz w:val="24"/>
          <w:highlight w:val="none"/>
        </w:rPr>
      </w:pPr>
      <w:r>
        <w:rPr>
          <w:rFonts w:hint="eastAsia" w:ascii="Times New Roman" w:hAnsi="Times New Roman"/>
          <w:sz w:val="24"/>
          <w:highlight w:val="none"/>
        </w:rPr>
      </w:r>
      <w:r/>
    </w:p>
    <w:p>
      <w:pPr>
        <w:pStyle w:val="745"/>
        <w:ind w:firstLine="480"/>
        <w:rPr>
          <w:rFonts w:hint="eastAsia" w:ascii="Times New Roman" w:hAnsi="Times New Roman"/>
          <w:sz w:val="24"/>
          <w:highlight w:val="none"/>
        </w:rPr>
      </w:pPr>
      <w:r>
        <w:rPr>
          <w:rFonts w:hint="eastAsia" w:ascii="Times New Roman" w:hAnsi="Times New Roman"/>
          <w:sz w:val="24"/>
          <w:highlight w:val="none"/>
        </w:rPr>
      </w:r>
      <w:r/>
    </w:p>
    <w:p>
      <w:pPr>
        <w:pStyle w:val="664"/>
        <w:jc w:val="center"/>
        <w:rPr>
          <w:rFonts w:cs="仿宋"/>
          <w:b/>
          <w:bCs/>
          <w:sz w:val="32"/>
          <w:szCs w:val="32"/>
          <w:highlight w:val="none"/>
        </w:rPr>
      </w:pPr>
      <w:r/>
      <w:bookmarkEnd w:id="254"/>
      <w:r/>
      <w:bookmarkEnd w:id="255"/>
      <w:r/>
      <w:bookmarkEnd w:id="317"/>
      <w:r/>
      <w:bookmarkStart w:id="318" w:name="_格式2__法定代表人授权书"/>
      <w:r/>
      <w:bookmarkEnd w:id="318"/>
      <w:r>
        <w:rPr>
          <w:rFonts w:hint="eastAsia" w:eastAsia="黑体"/>
          <w:b/>
          <w:sz w:val="32"/>
          <w:szCs w:val="32"/>
          <w:highlight w:val="none"/>
        </w:rPr>
        <w:br w:type="page" w:clear="all"/>
      </w:r>
      <w:r>
        <w:rPr>
          <w:rFonts w:hint="eastAsia" w:cs="仿宋"/>
          <w:b/>
          <w:bCs/>
          <w:sz w:val="32"/>
          <w:szCs w:val="32"/>
          <w:highlight w:val="none"/>
        </w:rPr>
        <w:t xml:space="preserve">质疑函范本</w:t>
      </w:r>
      <w:r>
        <w:rPr>
          <w:rFonts w:cs="仿宋"/>
          <w:b/>
          <w:bCs/>
          <w:sz w:val="32"/>
          <w:szCs w:val="32"/>
          <w:highlight w:val="none"/>
        </w:rPr>
      </w:r>
      <w:r/>
    </w:p>
    <w:p>
      <w:pPr>
        <w:pStyle w:val="664"/>
        <w:spacing w:before="290" w:line="360" w:lineRule="auto"/>
        <w:rPr>
          <w:rFonts w:cs="仿宋"/>
          <w:bCs/>
          <w:sz w:val="24"/>
          <w:szCs w:val="24"/>
          <w:highlight w:val="none"/>
        </w:rPr>
      </w:pPr>
      <w:r>
        <w:rPr>
          <w:rFonts w:hint="eastAsia" w:cs="仿宋"/>
          <w:bCs/>
          <w:sz w:val="24"/>
          <w:szCs w:val="24"/>
          <w:highlight w:val="none"/>
        </w:rPr>
        <w:t xml:space="preserve">一、质疑投标人基本信息</w:t>
      </w:r>
      <w:r>
        <w:rPr>
          <w:rFonts w:cs="仿宋"/>
          <w:bCs/>
          <w:sz w:val="24"/>
          <w:szCs w:val="24"/>
          <w:highlight w:val="none"/>
        </w:rPr>
      </w:r>
      <w:r/>
    </w:p>
    <w:p>
      <w:pPr>
        <w:pStyle w:val="664"/>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rPr>
          <w:rFonts w:cs="仿宋"/>
          <w:sz w:val="24"/>
          <w:szCs w:val="24"/>
          <w:highlight w:val="none"/>
          <w:u w:val="single"/>
        </w:rPr>
      </w:r>
      <w:r/>
    </w:p>
    <w:p>
      <w:pPr>
        <w:pStyle w:val="664"/>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rPr>
          <w:rFonts w:cs="仿宋"/>
          <w:sz w:val="24"/>
          <w:szCs w:val="24"/>
          <w:highlight w:val="none"/>
          <w:u w:val="single"/>
        </w:rPr>
      </w:r>
      <w:r/>
    </w:p>
    <w:p>
      <w:pPr>
        <w:pStyle w:val="664"/>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bCs/>
          <w:sz w:val="24"/>
          <w:szCs w:val="24"/>
          <w:highlight w:val="none"/>
        </w:rPr>
      </w:pPr>
      <w:r>
        <w:rPr>
          <w:rFonts w:hint="eastAsia" w:cs="仿宋"/>
          <w:bCs/>
          <w:sz w:val="24"/>
          <w:szCs w:val="24"/>
          <w:highlight w:val="none"/>
        </w:rPr>
        <w:t xml:space="preserve">二、质疑项目基本情况</w:t>
      </w:r>
      <w:r>
        <w:rPr>
          <w:rFonts w:cs="仿宋"/>
          <w:bCs/>
          <w:sz w:val="24"/>
          <w:szCs w:val="24"/>
          <w:highlight w:val="none"/>
        </w:rPr>
      </w:r>
      <w:r/>
    </w:p>
    <w:p>
      <w:pPr>
        <w:pStyle w:val="664"/>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rPr>
          <w:rFonts w:cs="仿宋"/>
          <w:sz w:val="24"/>
          <w:szCs w:val="24"/>
          <w:highlight w:val="none"/>
          <w:u w:val="single"/>
        </w:rPr>
      </w:r>
      <w:r/>
    </w:p>
    <w:p>
      <w:pPr>
        <w:pStyle w:val="664"/>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bCs/>
          <w:sz w:val="24"/>
          <w:szCs w:val="24"/>
          <w:highlight w:val="none"/>
        </w:rPr>
      </w:pPr>
      <w:r>
        <w:rPr>
          <w:rFonts w:hint="eastAsia" w:cs="仿宋"/>
          <w:bCs/>
          <w:sz w:val="24"/>
          <w:szCs w:val="24"/>
          <w:highlight w:val="none"/>
        </w:rPr>
        <w:t xml:space="preserve">三、质疑事项具体内容</w:t>
      </w:r>
      <w:r>
        <w:rPr>
          <w:rFonts w:cs="仿宋"/>
          <w:bCs/>
          <w:sz w:val="24"/>
          <w:szCs w:val="24"/>
          <w:highlight w:val="none"/>
        </w:rPr>
      </w:r>
      <w:r/>
    </w:p>
    <w:p>
      <w:pPr>
        <w:pStyle w:val="664"/>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rPr>
          <w:rFonts w:cs="仿宋"/>
          <w:sz w:val="24"/>
          <w:szCs w:val="24"/>
          <w:highlight w:val="none"/>
          <w:u w:val="single"/>
        </w:rPr>
      </w:r>
      <w:r/>
    </w:p>
    <w:p>
      <w:pPr>
        <w:pStyle w:val="664"/>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rPr>
          <w:rFonts w:cs="仿宋"/>
          <w:sz w:val="24"/>
          <w:szCs w:val="24"/>
          <w:highlight w:val="none"/>
          <w:u w:val="single"/>
        </w:rPr>
      </w:r>
      <w:r/>
    </w:p>
    <w:p>
      <w:pPr>
        <w:pStyle w:val="664"/>
        <w:spacing w:line="360" w:lineRule="auto"/>
        <w:rPr>
          <w:rFonts w:cs="仿宋"/>
          <w:sz w:val="24"/>
          <w:szCs w:val="24"/>
          <w:highlight w:val="none"/>
        </w:rPr>
      </w:pPr>
      <w:r>
        <w:rPr>
          <w:rFonts w:hint="eastAsia" w:cs="仿宋"/>
          <w:sz w:val="24"/>
          <w:szCs w:val="24"/>
          <w:highlight w:val="none"/>
          <w:u w:val="single"/>
        </w:rPr>
        <w:t xml:space="preserve">                                                                           </w:t>
      </w:r>
      <w:r>
        <w:rPr>
          <w:rFonts w:cs="仿宋"/>
          <w:sz w:val="24"/>
          <w:szCs w:val="24"/>
          <w:highlight w:val="none"/>
        </w:rPr>
      </w:r>
      <w:r/>
    </w:p>
    <w:p>
      <w:pPr>
        <w:pStyle w:val="664"/>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rPr>
          <w:rFonts w:cs="仿宋"/>
          <w:sz w:val="24"/>
          <w:szCs w:val="24"/>
          <w:highlight w:val="none"/>
          <w:u w:val="single"/>
        </w:rPr>
      </w:r>
      <w:r/>
    </w:p>
    <w:p>
      <w:pPr>
        <w:pStyle w:val="664"/>
        <w:spacing w:line="360" w:lineRule="auto"/>
        <w:rPr>
          <w:rFonts w:cs="仿宋"/>
          <w:sz w:val="24"/>
          <w:szCs w:val="24"/>
          <w:highlight w:val="none"/>
          <w:u w:val="single"/>
        </w:rPr>
      </w:pPr>
      <w:r>
        <w:rPr>
          <w:rFonts w:hint="eastAsia" w:cs="仿宋"/>
          <w:sz w:val="24"/>
          <w:szCs w:val="24"/>
          <w:highlight w:val="none"/>
          <w:u w:val="single"/>
        </w:rPr>
        <w:t xml:space="preserve">                                                                           </w:t>
      </w:r>
      <w:r>
        <w:rPr>
          <w:rFonts w:cs="仿宋"/>
          <w:sz w:val="24"/>
          <w:szCs w:val="24"/>
          <w:highlight w:val="none"/>
          <w:u w:val="single"/>
        </w:rPr>
      </w:r>
      <w:r/>
    </w:p>
    <w:p>
      <w:pPr>
        <w:pStyle w:val="664"/>
        <w:spacing w:line="360" w:lineRule="auto"/>
        <w:rPr>
          <w:rFonts w:cs="仿宋"/>
          <w:sz w:val="24"/>
          <w:szCs w:val="24"/>
          <w:highlight w:val="none"/>
          <w:u w:val="single"/>
        </w:rPr>
      </w:pPr>
      <w:r>
        <w:rPr>
          <w:rFonts w:hint="eastAsia" w:cs="仿宋"/>
          <w:sz w:val="24"/>
          <w:szCs w:val="24"/>
          <w:highlight w:val="none"/>
        </w:rPr>
        <w:t xml:space="preserve">质疑事项2</w:t>
      </w:r>
      <w:r>
        <w:rPr>
          <w:rFonts w:cs="仿宋"/>
          <w:sz w:val="24"/>
          <w:szCs w:val="24"/>
          <w:highlight w:val="none"/>
          <w:u w:val="single"/>
        </w:rPr>
      </w:r>
      <w:r/>
    </w:p>
    <w:p>
      <w:pPr>
        <w:pStyle w:val="664"/>
        <w:spacing w:line="360" w:lineRule="auto"/>
        <w:rPr>
          <w:rFonts w:cs="仿宋"/>
          <w:sz w:val="24"/>
          <w:szCs w:val="24"/>
          <w:highlight w:val="none"/>
        </w:rPr>
      </w:pPr>
      <w:r>
        <w:rPr>
          <w:rFonts w:hint="eastAsia" w:cs="仿宋"/>
          <w:sz w:val="24"/>
          <w:szCs w:val="24"/>
          <w:highlight w:val="none"/>
        </w:rPr>
        <w:t xml:space="preserve">……</w:t>
      </w:r>
      <w:r>
        <w:rPr>
          <w:rFonts w:cs="仿宋"/>
          <w:sz w:val="24"/>
          <w:szCs w:val="24"/>
          <w:highlight w:val="none"/>
        </w:rPr>
      </w:r>
      <w:r/>
    </w:p>
    <w:p>
      <w:pPr>
        <w:pStyle w:val="664"/>
        <w:spacing w:line="360" w:lineRule="auto"/>
        <w:rPr>
          <w:rFonts w:cs="仿宋"/>
          <w:bCs/>
          <w:sz w:val="24"/>
          <w:szCs w:val="24"/>
          <w:highlight w:val="none"/>
        </w:rPr>
      </w:pPr>
      <w:r>
        <w:rPr>
          <w:rFonts w:hint="eastAsia" w:cs="仿宋"/>
          <w:bCs/>
          <w:sz w:val="24"/>
          <w:szCs w:val="24"/>
          <w:highlight w:val="none"/>
        </w:rPr>
        <w:t xml:space="preserve">四、与质疑事项相关的质疑请求</w:t>
      </w:r>
      <w:r>
        <w:rPr>
          <w:rFonts w:cs="仿宋"/>
          <w:bCs/>
          <w:sz w:val="24"/>
          <w:szCs w:val="24"/>
          <w:highlight w:val="none"/>
        </w:rPr>
      </w:r>
      <w:r/>
    </w:p>
    <w:p>
      <w:pPr>
        <w:pStyle w:val="664"/>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rPr>
          <w:rFonts w:cs="仿宋"/>
          <w:sz w:val="24"/>
          <w:szCs w:val="24"/>
          <w:highlight w:val="none"/>
          <w:u w:val="single"/>
        </w:rPr>
      </w:r>
      <w:r/>
    </w:p>
    <w:p>
      <w:pPr>
        <w:pStyle w:val="664"/>
        <w:rPr>
          <w:sz w:val="24"/>
          <w:szCs w:val="24"/>
          <w:highlight w:val="none"/>
        </w:rPr>
      </w:pPr>
      <w:r>
        <w:rPr>
          <w:rFonts w:hint="eastAsia"/>
          <w:sz w:val="24"/>
          <w:szCs w:val="24"/>
          <w:highlight w:val="none"/>
        </w:rPr>
        <w:t xml:space="preserve">签字(签章)：                   公章：                      </w:t>
      </w:r>
      <w:r>
        <w:rPr>
          <w:sz w:val="24"/>
          <w:szCs w:val="24"/>
          <w:highlight w:val="none"/>
        </w:rPr>
      </w:r>
      <w:r/>
    </w:p>
    <w:p>
      <w:pPr>
        <w:pStyle w:val="664"/>
        <w:rPr>
          <w:sz w:val="24"/>
          <w:szCs w:val="24"/>
          <w:highlight w:val="none"/>
        </w:rPr>
      </w:pPr>
      <w:r>
        <w:rPr>
          <w:rFonts w:hint="eastAsia"/>
          <w:sz w:val="24"/>
          <w:szCs w:val="24"/>
          <w:highlight w:val="none"/>
        </w:rPr>
        <w:t xml:space="preserve">日期：    </w:t>
      </w:r>
      <w:r>
        <w:rPr>
          <w:sz w:val="24"/>
          <w:szCs w:val="24"/>
          <w:highlight w:val="none"/>
        </w:rPr>
      </w:r>
      <w:r/>
    </w:p>
    <w:p>
      <w:pPr>
        <w:pStyle w:val="664"/>
        <w:spacing w:line="400" w:lineRule="exact"/>
        <w:rPr>
          <w:b/>
          <w:sz w:val="24"/>
          <w:szCs w:val="24"/>
          <w:highlight w:val="none"/>
        </w:rPr>
      </w:pPr>
      <w:r>
        <w:rPr>
          <w:rFonts w:hint="eastAsia"/>
          <w:b/>
          <w:sz w:val="24"/>
          <w:szCs w:val="24"/>
          <w:highlight w:val="none"/>
        </w:rPr>
        <w:t xml:space="preserve">质疑函制作说明：</w:t>
      </w:r>
      <w:r>
        <w:rPr>
          <w:b/>
          <w:sz w:val="24"/>
          <w:szCs w:val="24"/>
          <w:highlight w:val="none"/>
        </w:rPr>
      </w:r>
      <w:r/>
    </w:p>
    <w:p>
      <w:pPr>
        <w:pStyle w:val="664"/>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rPr>
          <w:sz w:val="24"/>
          <w:szCs w:val="24"/>
          <w:highlight w:val="none"/>
        </w:rPr>
      </w:r>
      <w:r/>
    </w:p>
    <w:p>
      <w:pPr>
        <w:pStyle w:val="664"/>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rPr>
          <w:sz w:val="24"/>
          <w:szCs w:val="24"/>
          <w:highlight w:val="none"/>
        </w:rPr>
      </w:r>
      <w:r/>
    </w:p>
    <w:p>
      <w:pPr>
        <w:pStyle w:val="664"/>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rPr>
          <w:sz w:val="24"/>
          <w:szCs w:val="24"/>
          <w:highlight w:val="none"/>
        </w:rPr>
      </w:r>
      <w:r/>
    </w:p>
    <w:p>
      <w:pPr>
        <w:pStyle w:val="664"/>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rPr>
          <w:sz w:val="24"/>
          <w:szCs w:val="24"/>
          <w:highlight w:val="none"/>
        </w:rPr>
      </w:r>
      <w:r/>
    </w:p>
    <w:p>
      <w:pPr>
        <w:pStyle w:val="664"/>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rPr>
          <w:sz w:val="24"/>
          <w:szCs w:val="24"/>
          <w:highlight w:val="none"/>
        </w:rPr>
      </w:r>
      <w:r/>
    </w:p>
    <w:p>
      <w:pPr>
        <w:pStyle w:val="664"/>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sz w:val="24"/>
          <w:szCs w:val="24"/>
          <w:highlight w:val="none"/>
        </w:rPr>
      </w:r>
      <w:r/>
    </w:p>
    <w:p>
      <w:pPr>
        <w:pStyle w:val="679"/>
        <w:rPr>
          <w:rFonts w:hint="eastAsia"/>
          <w:sz w:val="24"/>
          <w:szCs w:val="24"/>
          <w:highlight w:val="none"/>
        </w:rPr>
      </w:pPr>
      <w:r>
        <w:rPr>
          <w:rFonts w:hint="eastAsia"/>
          <w:sz w:val="24"/>
          <w:szCs w:val="24"/>
          <w:highlight w:val="none"/>
        </w:rPr>
      </w:r>
      <w:r/>
    </w:p>
    <w:p>
      <w:pPr>
        <w:pStyle w:val="679"/>
        <w:rPr>
          <w:sz w:val="24"/>
          <w:szCs w:val="24"/>
          <w:highlight w:val="none"/>
        </w:rPr>
      </w:pPr>
      <w:r>
        <w:rPr>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Tahoma">
    <w:panose1 w:val="020B0604030504040204"/>
  </w:font>
  <w:font w:name="方正仿宋_GBK">
    <w:panose1 w:val="020B0503020202020204"/>
  </w:font>
  <w:font w:name="方正黑体_GBK">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Fonts w:hint="eastAsia" w:ascii="幼圆" w:hAnsi="幼圆" w:eastAsia="幼圆" w:cs="幼圆"/>
      </w:rPr>
      <w:framePr w:wrap="around" w:vAnchor="text" w:hAnchor="margin" w:xAlign="center" w:y="1"/>
    </w:pPr>
    <w:r>
      <w:rPr>
        <w:rFonts w:hint="eastAsia" w:ascii="幼圆" w:hAnsi="幼圆" w:eastAsia="幼圆" w:cs="幼圆"/>
      </w:rPr>
      <w:fldChar w:fldCharType="begin"/>
    </w:r>
    <w:r>
      <w:rPr>
        <w:rStyle w:val="736"/>
        <w:rFonts w:hint="eastAsia" w:ascii="幼圆" w:hAnsi="幼圆" w:eastAsia="幼圆" w:cs="幼圆"/>
      </w:rPr>
      <w:instrText xml:space="preserve">PAGE  </w:instrText>
    </w:r>
    <w:r>
      <w:rPr>
        <w:rFonts w:hint="eastAsia" w:ascii="幼圆" w:hAnsi="幼圆" w:eastAsia="幼圆" w:cs="幼圆"/>
      </w:rPr>
      <w:fldChar w:fldCharType="separate"/>
    </w:r>
    <w:r>
      <w:rPr>
        <w:rStyle w:val="736"/>
        <w:rFonts w:hint="eastAsia" w:ascii="幼圆" w:hAnsi="幼圆" w:eastAsia="幼圆" w:cs="幼圆"/>
      </w:rPr>
      <w:t xml:space="preserve">２６</w:t>
    </w:r>
    <w:r>
      <w:rPr>
        <w:rFonts w:hint="eastAsia" w:ascii="幼圆" w:hAnsi="幼圆" w:eastAsia="幼圆" w:cs="幼圆"/>
      </w:rPr>
      <w:fldChar w:fldCharType="end"/>
    </w:r>
    <w:r>
      <w:rPr>
        <w:rStyle w:val="736"/>
        <w:rFonts w:hint="eastAsia" w:ascii="幼圆" w:hAnsi="幼圆" w:eastAsia="幼圆" w:cs="幼圆"/>
      </w:rPr>
    </w:r>
    <w:r/>
  </w:p>
  <w:p>
    <w:pPr>
      <w:pStyle w:val="71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tabs>
        <w:tab w:val="center" w:pos="4153" w:leader="none"/>
        <w:tab w:val="right" w:pos="8306" w:leader="none"/>
      </w:tabs>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1</w:t>
    </w:r>
    <w:r>
      <w:fldChar w:fldCharType="end"/>
    </w:r>
    <w:r>
      <w:rPr>
        <w:rStyle w:val="736"/>
      </w:rPr>
    </w:r>
    <w:r/>
  </w:p>
  <w:p>
    <w:pPr>
      <w:pStyle w:val="7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41"/>
      <w:isLgl w:val="false"/>
      <w:suff w:val="tab"/>
      <w:lvlText w:val="附录%1."/>
      <w:lvlJc w:val="left"/>
      <w:pPr>
        <w:pStyle w:val="6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76"/>
      <w:isLgl w:val="false"/>
      <w:suff w:val="tab"/>
      <w:lvlText w:val="%1."/>
      <w:lvlJc w:val="left"/>
      <w:pPr>
        <w:pStyle w:val="664"/>
        <w:ind w:left="709" w:hanging="709"/>
        <w:tabs>
          <w:tab w:val="num" w:pos="709" w:leader="none"/>
        </w:tabs>
      </w:pPr>
      <w:rPr>
        <w:rFonts w:hint="eastAsia"/>
      </w:rPr>
    </w:lvl>
    <w:lvl w:ilvl="1">
      <w:start w:val="1"/>
      <w:numFmt w:val="decimal"/>
      <w:isLgl w:val="false"/>
      <w:suff w:val="tab"/>
      <w:lvlText w:val="%1.%2"/>
      <w:lvlJc w:val="left"/>
      <w:pPr>
        <w:pStyle w:val="664"/>
        <w:ind w:left="709" w:hanging="709"/>
        <w:tabs>
          <w:tab w:val="num" w:pos="709" w:leader="none"/>
        </w:tabs>
      </w:pPr>
      <w:rPr>
        <w:rFonts w:hint="eastAsia"/>
      </w:rPr>
    </w:lvl>
    <w:lvl w:ilvl="2">
      <w:start w:val="1"/>
      <w:numFmt w:val="decimal"/>
      <w:isLgl w:val="false"/>
      <w:suff w:val="tab"/>
      <w:lvlText w:val="%1.%2.%3."/>
      <w:lvlJc w:val="left"/>
      <w:pPr>
        <w:pStyle w:val="664"/>
        <w:ind w:left="425" w:hanging="425"/>
        <w:tabs>
          <w:tab w:val="num" w:pos="425" w:leader="none"/>
        </w:tabs>
      </w:pPr>
      <w:rPr>
        <w:rFonts w:hint="eastAsia"/>
      </w:rPr>
    </w:lvl>
    <w:lvl w:ilvl="3">
      <w:start w:val="1"/>
      <w:numFmt w:val="decimal"/>
      <w:isLgl w:val="false"/>
      <w:suff w:val="tab"/>
      <w:lvlText w:val="%1.%2.%3.%4."/>
      <w:lvlJc w:val="left"/>
      <w:pPr>
        <w:pStyle w:val="664"/>
        <w:ind w:left="851" w:hanging="851"/>
        <w:tabs>
          <w:tab w:val="num" w:pos="851" w:leader="none"/>
        </w:tabs>
      </w:pPr>
      <w:rPr>
        <w:rFonts w:hint="eastAsia"/>
      </w:rPr>
    </w:lvl>
    <w:lvl w:ilvl="4">
      <w:start w:val="1"/>
      <w:numFmt w:val="decimal"/>
      <w:isLgl w:val="false"/>
      <w:suff w:val="tab"/>
      <w:lvlText w:val="%1.%2.%3.%4.%5."/>
      <w:lvlJc w:val="left"/>
      <w:pPr>
        <w:pStyle w:val="664"/>
        <w:ind w:left="992" w:hanging="992"/>
        <w:tabs>
          <w:tab w:val="num" w:pos="992" w:leader="none"/>
        </w:tabs>
      </w:pPr>
      <w:rPr>
        <w:rFonts w:hint="eastAsia"/>
      </w:rPr>
    </w:lvl>
    <w:lvl w:ilvl="5">
      <w:start w:val="1"/>
      <w:numFmt w:val="decimal"/>
      <w:isLgl w:val="false"/>
      <w:suff w:val="tab"/>
      <w:lvlText w:val="%1.%2.%3.%4.%5.%6."/>
      <w:lvlJc w:val="left"/>
      <w:pPr>
        <w:pStyle w:val="664"/>
        <w:ind w:left="1134" w:hanging="1134"/>
        <w:tabs>
          <w:tab w:val="num" w:pos="1134" w:leader="none"/>
        </w:tabs>
      </w:pPr>
      <w:rPr>
        <w:rFonts w:hint="eastAsia"/>
      </w:rPr>
    </w:lvl>
    <w:lvl w:ilvl="6">
      <w:start w:val="1"/>
      <w:numFmt w:val="decimal"/>
      <w:isLgl w:val="false"/>
      <w:suff w:val="tab"/>
      <w:lvlText w:val="%1.%2.%3.%4.%5.%6.%7."/>
      <w:lvlJc w:val="left"/>
      <w:pPr>
        <w:pStyle w:val="664"/>
        <w:ind w:left="1276" w:hanging="1276"/>
        <w:tabs>
          <w:tab w:val="num" w:pos="1276" w:leader="none"/>
        </w:tabs>
      </w:pPr>
      <w:rPr>
        <w:rFonts w:hint="eastAsia"/>
      </w:rPr>
    </w:lvl>
    <w:lvl w:ilvl="7">
      <w:start w:val="1"/>
      <w:numFmt w:val="decimal"/>
      <w:isLgl w:val="false"/>
      <w:suff w:val="tab"/>
      <w:lvlText w:val="%1.%2.%3.%4.%5.%6.%7.%8."/>
      <w:lvlJc w:val="left"/>
      <w:pPr>
        <w:pStyle w:val="664"/>
        <w:ind w:left="1418" w:hanging="1418"/>
        <w:tabs>
          <w:tab w:val="num" w:pos="1418" w:leader="none"/>
        </w:tabs>
      </w:pPr>
      <w:rPr>
        <w:rFonts w:hint="eastAsia"/>
      </w:rPr>
    </w:lvl>
    <w:lvl w:ilvl="8">
      <w:start w:val="1"/>
      <w:numFmt w:val="decimal"/>
      <w:isLgl w:val="false"/>
      <w:suff w:val="tab"/>
      <w:lvlText w:val="%1.%2.%3.%4.%5.%6.%7.%8.%9."/>
      <w:lvlJc w:val="left"/>
      <w:pPr>
        <w:pStyle w:val="664"/>
        <w:ind w:left="1559" w:hanging="1559"/>
        <w:tabs>
          <w:tab w:val="num" w:pos="1559" w:leader="none"/>
        </w:tabs>
      </w:pPr>
      <w:rPr>
        <w:rFonts w:hint="eastAsia"/>
      </w:rPr>
    </w:lvl>
  </w:abstractNum>
  <w:abstractNum w:abstractNumId="7">
    <w:multiLevelType w:val="hybridMultilevel"/>
    <w:lvl w:ilvl="0">
      <w:start w:val="7"/>
      <w:numFmt w:val="decimal"/>
      <w:isLgl w:val="false"/>
      <w:suff w:val="nothing"/>
      <w:lvlText w:val="%1、"/>
      <w:lvlJc w:val="left"/>
      <w:pPr>
        <w:pStyle w:val="6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664"/>
        <w:ind w:left="0" w:firstLine="0"/>
      </w:pPr>
      <w:rPr>
        <w:rFonts w:hint="eastAsia"/>
      </w:rPr>
    </w:lvl>
    <w:lvl w:ilvl="1">
      <w:start w:val="1"/>
      <w:numFmt w:val="decimal"/>
      <w:isLgl w:val="false"/>
      <w:suff w:val="nothing"/>
      <w:lvlText w:val="%2、"/>
      <w:lvlJc w:val="left"/>
      <w:pPr>
        <w:pStyle w:val="664"/>
        <w:ind w:left="0" w:firstLine="0"/>
      </w:pPr>
      <w:rPr>
        <w:rFonts w:hint="eastAsia"/>
      </w:rPr>
    </w:lvl>
    <w:lvl w:ilvl="2">
      <w:start w:val="1"/>
      <w:numFmt w:val="decimal"/>
      <w:isLgl w:val="false"/>
      <w:suff w:val="nothing"/>
      <w:lvlText w:val="%2.%3 "/>
      <w:lvlJc w:val="left"/>
      <w:pPr>
        <w:pStyle w:val="664"/>
        <w:ind w:left="0" w:firstLine="0"/>
      </w:pPr>
      <w:rPr>
        <w:rFonts w:hint="eastAsia"/>
      </w:rPr>
    </w:lvl>
    <w:lvl w:ilvl="3">
      <w:start w:val="1"/>
      <w:numFmt w:val="decimal"/>
      <w:isLgl w:val="false"/>
      <w:suff w:val="nothing"/>
      <w:lvlText w:val="%2.%3.%4 "/>
      <w:lvlJc w:val="left"/>
      <w:pPr>
        <w:pStyle w:val="664"/>
        <w:ind w:left="0" w:firstLine="0"/>
      </w:pPr>
      <w:rPr>
        <w:rFonts w:hint="eastAsia"/>
      </w:rPr>
    </w:lvl>
    <w:lvl w:ilvl="4">
      <w:start w:val="1"/>
      <w:numFmt w:val="decimal"/>
      <w:isLgl w:val="false"/>
      <w:suff w:val="nothing"/>
      <w:lvlText w:val="%2.%3.%4.%5 "/>
      <w:lvlJc w:val="left"/>
      <w:pPr>
        <w:pStyle w:val="664"/>
        <w:ind w:left="0" w:firstLine="0"/>
      </w:pPr>
      <w:rPr>
        <w:rFonts w:hint="eastAsia"/>
      </w:rPr>
    </w:lvl>
    <w:lvl w:ilvl="5">
      <w:start w:val="1"/>
      <w:numFmt w:val="decimal"/>
      <w:pStyle w:val="670"/>
      <w:isLgl w:val="false"/>
      <w:suff w:val="nothing"/>
      <w:lvlText w:val=""/>
      <w:lvlJc w:val="left"/>
      <w:pPr>
        <w:pStyle w:val="664"/>
        <w:ind w:left="0" w:firstLine="0"/>
      </w:pPr>
      <w:rPr>
        <w:rFonts w:hint="eastAsia"/>
      </w:rPr>
    </w:lvl>
    <w:lvl w:ilvl="6">
      <w:start w:val="1"/>
      <w:numFmt w:val="decimal"/>
      <w:pStyle w:val="671"/>
      <w:isLgl w:val="false"/>
      <w:suff w:val="nothing"/>
      <w:lvlText w:val=""/>
      <w:lvlJc w:val="left"/>
      <w:pPr>
        <w:pStyle w:val="664"/>
        <w:ind w:left="0" w:firstLine="0"/>
      </w:pPr>
      <w:rPr>
        <w:rFonts w:hint="eastAsia"/>
      </w:rPr>
    </w:lvl>
    <w:lvl w:ilvl="7">
      <w:start w:val="1"/>
      <w:numFmt w:val="decimal"/>
      <w:pStyle w:val="672"/>
      <w:isLgl w:val="false"/>
      <w:suff w:val="nothing"/>
      <w:lvlText w:val=""/>
      <w:lvlJc w:val="left"/>
      <w:pPr>
        <w:pStyle w:val="664"/>
        <w:ind w:left="0" w:firstLine="0"/>
      </w:pPr>
      <w:rPr>
        <w:rFonts w:hint="eastAsia"/>
      </w:rPr>
    </w:lvl>
    <w:lvl w:ilvl="8">
      <w:start w:val="1"/>
      <w:numFmt w:val="decimal"/>
      <w:pStyle w:val="673"/>
      <w:isLgl w:val="false"/>
      <w:suff w:val="nothing"/>
      <w:lvlText w:val=""/>
      <w:lvlJc w:val="left"/>
      <w:pPr>
        <w:pStyle w:val="664"/>
        <w:ind w:left="0" w:firstLine="0"/>
      </w:pPr>
      <w:rPr>
        <w:rFonts w:hint="eastAsia"/>
      </w:rPr>
    </w:lvl>
  </w:abstractNum>
  <w:num w:numId="1">
    <w:abstractNumId w:val="8"/>
  </w:num>
  <w:num w:numId="2">
    <w:abstractNumId w:val="4"/>
  </w:num>
  <w:num w:numId="3">
    <w:abstractNumId w:val="6"/>
  </w:num>
  <w:num w:numId="4">
    <w:abstractNumId w:val="0"/>
  </w:num>
  <w:num w:numId="5">
    <w:abstractNumId w:val="3"/>
  </w:num>
  <w:num w:numId="6">
    <w:abstractNumId w:val="5"/>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sz w:val="21"/>
      <w:szCs w:val="21"/>
      <w:lang w:val="en-US" w:eastAsia="zh-CN" w:bidi="ar-SA"/>
    </w:rPr>
  </w:style>
  <w:style w:type="paragraph" w:styleId="665">
    <w:name w:val="标题 1"/>
    <w:basedOn w:val="664"/>
    <w:next w:val="664"/>
    <w:link w:val="676"/>
    <w:qFormat/>
    <w:pPr>
      <w:jc w:val="center"/>
      <w:keepNext/>
      <w:outlineLvl w:val="0"/>
    </w:pPr>
    <w:rPr>
      <w:rFonts w:ascii="楷体_GB2312" w:eastAsia="楷体_GB2312"/>
      <w:sz w:val="28"/>
      <w:szCs w:val="28"/>
    </w:rPr>
  </w:style>
  <w:style w:type="paragraph" w:styleId="666">
    <w:name w:val="标题 2"/>
    <w:basedOn w:val="664"/>
    <w:next w:val="664"/>
    <w:link w:val="677"/>
    <w:qFormat/>
    <w:pPr>
      <w:jc w:val="center"/>
      <w:keepLines/>
      <w:keepNext/>
      <w:spacing w:before="260" w:after="260" w:line="416" w:lineRule="auto"/>
      <w:outlineLvl w:val="1"/>
    </w:pPr>
    <w:rPr>
      <w:rFonts w:ascii="Arial" w:hAnsi="Arial" w:eastAsia="幼圆" w:cs="Arial"/>
      <w:b/>
      <w:bCs/>
      <w:sz w:val="44"/>
      <w:szCs w:val="44"/>
    </w:rPr>
  </w:style>
  <w:style w:type="paragraph" w:styleId="667">
    <w:name w:val="标题 3"/>
    <w:basedOn w:val="664"/>
    <w:next w:val="679"/>
    <w:link w:val="678"/>
    <w:qFormat/>
    <w:pPr>
      <w:keepLines/>
      <w:keepNext/>
      <w:spacing w:before="260" w:after="260" w:line="416" w:lineRule="auto"/>
      <w:outlineLvl w:val="2"/>
    </w:pPr>
    <w:rPr>
      <w:b/>
      <w:bCs/>
      <w:sz w:val="32"/>
      <w:szCs w:val="32"/>
    </w:rPr>
  </w:style>
  <w:style w:type="paragraph" w:styleId="668">
    <w:name w:val="标题 4"/>
    <w:basedOn w:val="664"/>
    <w:next w:val="679"/>
    <w:link w:val="681"/>
    <w:qFormat/>
    <w:pPr>
      <w:keepLines/>
      <w:keepNext/>
      <w:spacing w:before="280" w:after="290" w:line="376" w:lineRule="auto"/>
      <w:outlineLvl w:val="3"/>
    </w:pPr>
    <w:rPr>
      <w:rFonts w:ascii="Arial" w:hAnsi="Arial" w:eastAsia="黑体" w:cs="Arial"/>
      <w:b/>
      <w:bCs/>
      <w:sz w:val="28"/>
      <w:szCs w:val="28"/>
    </w:rPr>
  </w:style>
  <w:style w:type="paragraph" w:styleId="669">
    <w:name w:val="标题 5"/>
    <w:basedOn w:val="664"/>
    <w:next w:val="679"/>
    <w:link w:val="682"/>
    <w:qFormat/>
    <w:pPr>
      <w:keepNext/>
      <w:outlineLvl w:val="4"/>
    </w:pPr>
    <w:rPr>
      <w:rFonts w:ascii="宋体"/>
      <w:color w:val="000000"/>
      <w:sz w:val="28"/>
      <w:szCs w:val="28"/>
    </w:rPr>
  </w:style>
  <w:style w:type="paragraph" w:styleId="670">
    <w:name w:val="标题 6"/>
    <w:basedOn w:val="664"/>
    <w:next w:val="664"/>
    <w:link w:val="683"/>
    <w:qFormat/>
    <w:pPr>
      <w:numPr>
        <w:ilvl w:val="5"/>
        <w:numId w:val="1"/>
      </w:numPr>
      <w:keepLines/>
      <w:keepNext/>
      <w:spacing w:before="240" w:after="64" w:line="320" w:lineRule="auto"/>
      <w:outlineLvl w:val="5"/>
    </w:pPr>
    <w:rPr>
      <w:rFonts w:ascii="Arial" w:hAnsi="Arial" w:eastAsia="黑体"/>
      <w:b/>
      <w:bCs/>
      <w:sz w:val="24"/>
      <w:szCs w:val="24"/>
    </w:rPr>
  </w:style>
  <w:style w:type="paragraph" w:styleId="671">
    <w:name w:val="标题 7"/>
    <w:basedOn w:val="664"/>
    <w:next w:val="664"/>
    <w:link w:val="684"/>
    <w:qFormat/>
    <w:pPr>
      <w:numPr>
        <w:ilvl w:val="6"/>
        <w:numId w:val="1"/>
      </w:numPr>
      <w:keepLines/>
      <w:keepNext/>
      <w:spacing w:before="240" w:after="64" w:line="320" w:lineRule="auto"/>
      <w:outlineLvl w:val="6"/>
    </w:pPr>
    <w:rPr>
      <w:b/>
      <w:bCs/>
      <w:sz w:val="24"/>
      <w:szCs w:val="24"/>
    </w:rPr>
  </w:style>
  <w:style w:type="paragraph" w:styleId="672">
    <w:name w:val="标题 8"/>
    <w:basedOn w:val="664"/>
    <w:next w:val="664"/>
    <w:link w:val="685"/>
    <w:qFormat/>
    <w:pPr>
      <w:numPr>
        <w:ilvl w:val="7"/>
        <w:numId w:val="1"/>
      </w:numPr>
      <w:keepLines/>
      <w:keepNext/>
      <w:spacing w:before="240" w:after="64" w:line="320" w:lineRule="auto"/>
      <w:outlineLvl w:val="7"/>
    </w:pPr>
    <w:rPr>
      <w:rFonts w:ascii="Arial" w:hAnsi="Arial" w:eastAsia="黑体"/>
      <w:sz w:val="24"/>
      <w:szCs w:val="24"/>
    </w:rPr>
  </w:style>
  <w:style w:type="paragraph" w:styleId="673">
    <w:name w:val="标题 9"/>
    <w:basedOn w:val="664"/>
    <w:next w:val="664"/>
    <w:link w:val="686"/>
    <w:qFormat/>
    <w:pPr>
      <w:numPr>
        <w:ilvl w:val="8"/>
        <w:numId w:val="1"/>
      </w:numPr>
      <w:keepLines/>
      <w:keepNext/>
      <w:spacing w:before="240" w:after="64" w:line="320" w:lineRule="auto"/>
      <w:outlineLvl w:val="8"/>
    </w:pPr>
    <w:rPr>
      <w:rFonts w:ascii="Arial" w:hAnsi="Arial" w:eastAsia="黑体"/>
    </w:rPr>
  </w:style>
  <w:style w:type="character" w:styleId="674">
    <w:name w:val="默认段落字体"/>
    <w:next w:val="674"/>
    <w:link w:val="664"/>
    <w:uiPriority w:val="1"/>
    <w:unhideWhenUsed/>
  </w:style>
  <w:style w:type="table" w:styleId="675">
    <w:name w:val="普通表格"/>
    <w:next w:val="675"/>
    <w:link w:val="664"/>
    <w:uiPriority w:val="99"/>
    <w:unhideWhenUsed/>
    <w:tblPr/>
  </w:style>
  <w:style w:type="character" w:styleId="676">
    <w:name w:val="标题 1 字符"/>
    <w:next w:val="676"/>
    <w:link w:val="665"/>
    <w:rPr>
      <w:rFonts w:ascii="楷体_GB2312" w:hAnsi="Times New Roman" w:eastAsia="楷体_GB2312" w:cs="Times New Roman"/>
      <w:sz w:val="28"/>
      <w:szCs w:val="28"/>
    </w:rPr>
  </w:style>
  <w:style w:type="character" w:styleId="677">
    <w:name w:val="标题 2 字符"/>
    <w:next w:val="677"/>
    <w:link w:val="666"/>
    <w:rPr>
      <w:rFonts w:ascii="Arial" w:hAnsi="Arial" w:eastAsia="幼圆" w:cs="Arial"/>
      <w:b/>
      <w:bCs/>
      <w:sz w:val="44"/>
      <w:szCs w:val="44"/>
    </w:rPr>
  </w:style>
  <w:style w:type="character" w:styleId="678">
    <w:name w:val="标题 3 字符"/>
    <w:next w:val="678"/>
    <w:link w:val="667"/>
    <w:rPr>
      <w:rFonts w:ascii="Times New Roman" w:hAnsi="Times New Roman" w:eastAsia="宋体" w:cs="Times New Roman"/>
      <w:b/>
      <w:bCs/>
      <w:sz w:val="32"/>
      <w:szCs w:val="32"/>
    </w:rPr>
  </w:style>
  <w:style w:type="paragraph" w:styleId="679">
    <w:name w:val="正文缩进"/>
    <w:basedOn w:val="664"/>
    <w:next w:val="664"/>
    <w:link w:val="680"/>
    <w:pPr>
      <w:ind w:firstLine="420"/>
    </w:pPr>
  </w:style>
  <w:style w:type="character" w:styleId="680">
    <w:name w:val="正文缩进 字符"/>
    <w:next w:val="680"/>
    <w:link w:val="679"/>
    <w:rPr>
      <w:rFonts w:ascii="Times New Roman" w:hAnsi="Times New Roman" w:eastAsia="宋体" w:cs="Times New Roman"/>
      <w:szCs w:val="21"/>
    </w:rPr>
  </w:style>
  <w:style w:type="character" w:styleId="681">
    <w:name w:val="标题 4 字符"/>
    <w:next w:val="681"/>
    <w:link w:val="668"/>
    <w:rPr>
      <w:rFonts w:ascii="Arial" w:hAnsi="Arial" w:eastAsia="黑体" w:cs="Arial"/>
      <w:b/>
      <w:bCs/>
      <w:sz w:val="28"/>
      <w:szCs w:val="28"/>
    </w:rPr>
  </w:style>
  <w:style w:type="character" w:styleId="682">
    <w:name w:val="标题 5 字符"/>
    <w:next w:val="682"/>
    <w:link w:val="669"/>
    <w:rPr>
      <w:rFonts w:ascii="宋体" w:hAnsi="Times New Roman" w:eastAsia="宋体" w:cs="Times New Roman"/>
      <w:color w:val="000000"/>
      <w:sz w:val="28"/>
      <w:szCs w:val="28"/>
    </w:rPr>
  </w:style>
  <w:style w:type="character" w:styleId="683">
    <w:name w:val="标题 6 字符"/>
    <w:next w:val="683"/>
    <w:link w:val="670"/>
    <w:rPr>
      <w:rFonts w:ascii="Arial" w:hAnsi="Arial" w:eastAsia="黑体" w:cs="Times New Roman"/>
      <w:b/>
      <w:bCs/>
      <w:sz w:val="24"/>
      <w:szCs w:val="24"/>
    </w:rPr>
  </w:style>
  <w:style w:type="character" w:styleId="684">
    <w:name w:val="标题 7 字符"/>
    <w:next w:val="684"/>
    <w:link w:val="671"/>
    <w:rPr>
      <w:rFonts w:ascii="Times New Roman" w:hAnsi="Times New Roman" w:eastAsia="宋体" w:cs="Times New Roman"/>
      <w:b/>
      <w:bCs/>
      <w:sz w:val="24"/>
      <w:szCs w:val="24"/>
    </w:rPr>
  </w:style>
  <w:style w:type="character" w:styleId="685">
    <w:name w:val="标题 8 字符"/>
    <w:next w:val="685"/>
    <w:link w:val="672"/>
    <w:rPr>
      <w:rFonts w:ascii="Arial" w:hAnsi="Arial" w:eastAsia="黑体" w:cs="Times New Roman"/>
      <w:sz w:val="24"/>
      <w:szCs w:val="24"/>
    </w:rPr>
  </w:style>
  <w:style w:type="character" w:styleId="686">
    <w:name w:val="标题 9 字符"/>
    <w:next w:val="686"/>
    <w:link w:val="673"/>
    <w:rPr>
      <w:rFonts w:ascii="Arial" w:hAnsi="Arial" w:eastAsia="黑体" w:cs="Times New Roman"/>
      <w:szCs w:val="21"/>
    </w:rPr>
  </w:style>
  <w:style w:type="paragraph" w:styleId="687">
    <w:name w:val="列表 3"/>
    <w:basedOn w:val="664"/>
    <w:next w:val="687"/>
    <w:link w:val="664"/>
    <w:pPr>
      <w:ind w:left="100" w:hanging="200"/>
    </w:pPr>
  </w:style>
  <w:style w:type="paragraph" w:styleId="688">
    <w:name w:val="目录 7"/>
    <w:basedOn w:val="664"/>
    <w:next w:val="664"/>
    <w:link w:val="664"/>
    <w:semiHidden/>
    <w:pPr>
      <w:ind w:left="1260"/>
      <w:jc w:val="left"/>
    </w:pPr>
  </w:style>
  <w:style w:type="paragraph" w:styleId="689">
    <w:name w:val="文档结构图"/>
    <w:basedOn w:val="664"/>
    <w:next w:val="689"/>
    <w:link w:val="690"/>
    <w:semiHidden/>
    <w:pPr>
      <w:shd w:val="clear" w:color="auto" w:fill="000080"/>
    </w:pPr>
  </w:style>
  <w:style w:type="character" w:styleId="690">
    <w:name w:val="文档结构图 字符"/>
    <w:next w:val="690"/>
    <w:link w:val="689"/>
    <w:semiHidden/>
    <w:rPr>
      <w:rFonts w:ascii="Times New Roman" w:hAnsi="Times New Roman" w:eastAsia="宋体" w:cs="Times New Roman"/>
      <w:szCs w:val="21"/>
      <w:shd w:val="clear" w:color="auto" w:fill="000080"/>
    </w:rPr>
  </w:style>
  <w:style w:type="paragraph" w:styleId="691">
    <w:name w:val="批注文字"/>
    <w:basedOn w:val="664"/>
    <w:next w:val="691"/>
    <w:link w:val="692"/>
    <w:semiHidden/>
    <w:pPr>
      <w:jc w:val="left"/>
    </w:pPr>
  </w:style>
  <w:style w:type="character" w:styleId="692">
    <w:name w:val="批注文字 字符"/>
    <w:next w:val="692"/>
    <w:link w:val="691"/>
    <w:semiHidden/>
    <w:rPr>
      <w:rFonts w:ascii="Times New Roman" w:hAnsi="Times New Roman" w:eastAsia="宋体" w:cs="Times New Roman"/>
      <w:szCs w:val="21"/>
    </w:rPr>
  </w:style>
  <w:style w:type="paragraph" w:styleId="693">
    <w:name w:val="正文文本 3"/>
    <w:basedOn w:val="664"/>
    <w:next w:val="693"/>
    <w:link w:val="694"/>
    <w:rPr>
      <w:rFonts w:ascii="仿宋_GB2312" w:hAnsi="Arial" w:eastAsia="仿宋_GB2312"/>
      <w:sz w:val="32"/>
      <w:szCs w:val="32"/>
    </w:rPr>
  </w:style>
  <w:style w:type="character" w:styleId="694">
    <w:name w:val="正文文本 3 字符"/>
    <w:next w:val="694"/>
    <w:link w:val="693"/>
    <w:rPr>
      <w:rFonts w:ascii="仿宋_GB2312" w:hAnsi="Arial" w:eastAsia="仿宋_GB2312" w:cs="Times New Roman"/>
      <w:sz w:val="32"/>
      <w:szCs w:val="32"/>
    </w:rPr>
  </w:style>
  <w:style w:type="paragraph" w:styleId="695">
    <w:name w:val="正文文本"/>
    <w:basedOn w:val="664"/>
    <w:next w:val="664"/>
    <w:link w:val="696"/>
    <w:rPr>
      <w:rFonts w:ascii="楷体_GB2312" w:hAnsi="Arial" w:eastAsia="楷体_GB2312"/>
      <w:sz w:val="28"/>
      <w:szCs w:val="28"/>
    </w:rPr>
  </w:style>
  <w:style w:type="character" w:styleId="696">
    <w:name w:val="正文文本 字符"/>
    <w:next w:val="696"/>
    <w:link w:val="695"/>
    <w:rPr>
      <w:rFonts w:ascii="楷体_GB2312" w:hAnsi="Arial" w:eastAsia="楷体_GB2312" w:cs="Times New Roman"/>
      <w:sz w:val="28"/>
      <w:szCs w:val="28"/>
    </w:rPr>
  </w:style>
  <w:style w:type="paragraph" w:styleId="697">
    <w:name w:val="正文文本缩进"/>
    <w:basedOn w:val="664"/>
    <w:next w:val="664"/>
    <w:link w:val="698"/>
    <w:pPr>
      <w:ind w:firstLine="645"/>
    </w:pPr>
    <w:rPr>
      <w:rFonts w:ascii="楷体_GB2312" w:eastAsia="楷体_GB2312"/>
      <w:sz w:val="32"/>
      <w:szCs w:val="32"/>
    </w:rPr>
  </w:style>
  <w:style w:type="character" w:styleId="698">
    <w:name w:val="正文文本缩进 字符"/>
    <w:next w:val="698"/>
    <w:link w:val="697"/>
    <w:rPr>
      <w:rFonts w:ascii="楷体_GB2312" w:hAnsi="Times New Roman" w:eastAsia="楷体_GB2312" w:cs="Times New Roman"/>
      <w:sz w:val="32"/>
      <w:szCs w:val="32"/>
    </w:rPr>
  </w:style>
  <w:style w:type="paragraph" w:styleId="699">
    <w:name w:val="列表 2"/>
    <w:basedOn w:val="664"/>
    <w:next w:val="699"/>
    <w:link w:val="664"/>
    <w:pPr>
      <w:ind w:left="100" w:hanging="200"/>
    </w:pPr>
  </w:style>
  <w:style w:type="paragraph" w:styleId="700">
    <w:name w:val="目录 5"/>
    <w:basedOn w:val="664"/>
    <w:next w:val="664"/>
    <w:link w:val="664"/>
    <w:semiHidden/>
    <w:pPr>
      <w:ind w:left="840"/>
      <w:jc w:val="left"/>
    </w:pPr>
  </w:style>
  <w:style w:type="paragraph" w:styleId="701">
    <w:name w:val="目录 3"/>
    <w:basedOn w:val="664"/>
    <w:next w:val="664"/>
    <w:link w:val="664"/>
    <w:semiHidden/>
    <w:pPr>
      <w:ind w:left="420"/>
      <w:jc w:val="left"/>
    </w:pPr>
    <w:rPr>
      <w:i/>
      <w:iCs/>
      <w:szCs w:val="24"/>
    </w:rPr>
  </w:style>
  <w:style w:type="paragraph" w:styleId="702">
    <w:name w:val="纯文本"/>
    <w:basedOn w:val="664"/>
    <w:next w:val="702"/>
    <w:link w:val="703"/>
    <w:rPr>
      <w:rFonts w:ascii="宋体" w:hAnsi="Courier New" w:cs="Courier New"/>
    </w:rPr>
  </w:style>
  <w:style w:type="character" w:styleId="703">
    <w:name w:val="纯文本 字符"/>
    <w:next w:val="703"/>
    <w:link w:val="702"/>
    <w:rPr>
      <w:rFonts w:ascii="宋体" w:hAnsi="Courier New" w:eastAsia="宋体" w:cs="Courier New"/>
      <w:szCs w:val="21"/>
    </w:rPr>
  </w:style>
  <w:style w:type="paragraph" w:styleId="704">
    <w:name w:val="目录 8"/>
    <w:basedOn w:val="664"/>
    <w:next w:val="664"/>
    <w:link w:val="664"/>
    <w:semiHidden/>
    <w:pPr>
      <w:ind w:left="1470"/>
      <w:jc w:val="left"/>
    </w:pPr>
  </w:style>
  <w:style w:type="paragraph" w:styleId="705">
    <w:name w:val="日期"/>
    <w:basedOn w:val="664"/>
    <w:next w:val="664"/>
    <w:link w:val="706"/>
    <w:rPr>
      <w:sz w:val="24"/>
      <w:szCs w:val="24"/>
    </w:rPr>
  </w:style>
  <w:style w:type="character" w:styleId="706">
    <w:name w:val="日期 字符"/>
    <w:next w:val="706"/>
    <w:link w:val="705"/>
    <w:rPr>
      <w:rFonts w:ascii="Times New Roman" w:hAnsi="Times New Roman" w:eastAsia="宋体" w:cs="Times New Roman"/>
      <w:sz w:val="24"/>
      <w:szCs w:val="24"/>
    </w:rPr>
  </w:style>
  <w:style w:type="paragraph" w:styleId="707">
    <w:name w:val="正文文本缩进 2"/>
    <w:basedOn w:val="664"/>
    <w:next w:val="707"/>
    <w:link w:val="708"/>
    <w:pPr>
      <w:ind w:left="630" w:firstLine="645"/>
    </w:pPr>
    <w:rPr>
      <w:rFonts w:ascii="Arial" w:hAnsi="Arial" w:eastAsia="仿宋_GB2312" w:cs="Arial"/>
      <w:sz w:val="32"/>
      <w:szCs w:val="32"/>
    </w:rPr>
  </w:style>
  <w:style w:type="character" w:styleId="708">
    <w:name w:val="正文文本缩进 2 字符"/>
    <w:next w:val="708"/>
    <w:link w:val="707"/>
    <w:rPr>
      <w:rFonts w:ascii="Arial" w:hAnsi="Arial" w:eastAsia="仿宋_GB2312" w:cs="Arial"/>
      <w:sz w:val="32"/>
      <w:szCs w:val="32"/>
    </w:rPr>
  </w:style>
  <w:style w:type="paragraph" w:styleId="709">
    <w:name w:val="批注框文本"/>
    <w:basedOn w:val="664"/>
    <w:next w:val="709"/>
    <w:link w:val="710"/>
    <w:semiHidden/>
    <w:rPr>
      <w:sz w:val="18"/>
      <w:szCs w:val="18"/>
    </w:rPr>
  </w:style>
  <w:style w:type="character" w:styleId="710">
    <w:name w:val="批注框文本 字符"/>
    <w:next w:val="710"/>
    <w:link w:val="709"/>
    <w:semiHidden/>
    <w:rPr>
      <w:rFonts w:ascii="Times New Roman" w:hAnsi="Times New Roman" w:eastAsia="宋体" w:cs="Times New Roman"/>
      <w:sz w:val="18"/>
      <w:szCs w:val="18"/>
    </w:rPr>
  </w:style>
  <w:style w:type="paragraph" w:styleId="711">
    <w:name w:val="页脚"/>
    <w:basedOn w:val="664"/>
    <w:next w:val="711"/>
    <w:link w:val="712"/>
    <w:pPr>
      <w:jc w:val="left"/>
      <w:tabs>
        <w:tab w:val="center" w:pos="4153" w:leader="none"/>
        <w:tab w:val="right" w:pos="8306" w:leader="none"/>
      </w:tabs>
    </w:pPr>
    <w:rPr>
      <w:sz w:val="18"/>
      <w:szCs w:val="18"/>
    </w:rPr>
  </w:style>
  <w:style w:type="character" w:styleId="712">
    <w:name w:val="页脚 字符"/>
    <w:next w:val="712"/>
    <w:link w:val="711"/>
    <w:rPr>
      <w:rFonts w:ascii="Times New Roman" w:hAnsi="Times New Roman" w:eastAsia="宋体" w:cs="Times New Roman"/>
      <w:sz w:val="18"/>
      <w:szCs w:val="18"/>
    </w:rPr>
  </w:style>
  <w:style w:type="paragraph" w:styleId="713">
    <w:name w:val="页眉"/>
    <w:basedOn w:val="664"/>
    <w:next w:val="713"/>
    <w:link w:val="714"/>
    <w:pPr>
      <w:jc w:val="center"/>
      <w:tabs>
        <w:tab w:val="center" w:pos="4153" w:leader="none"/>
        <w:tab w:val="right" w:pos="8306" w:leader="none"/>
      </w:tabs>
      <w:pBdr>
        <w:bottom w:val="single" w:color="000000" w:sz="6" w:space="1"/>
      </w:pBdr>
    </w:pPr>
    <w:rPr>
      <w:sz w:val="18"/>
      <w:szCs w:val="18"/>
    </w:rPr>
  </w:style>
  <w:style w:type="character" w:styleId="714">
    <w:name w:val="页眉 字符"/>
    <w:next w:val="714"/>
    <w:link w:val="713"/>
    <w:rPr>
      <w:rFonts w:ascii="Times New Roman" w:hAnsi="Times New Roman" w:eastAsia="宋体" w:cs="Times New Roman"/>
      <w:sz w:val="18"/>
      <w:szCs w:val="18"/>
    </w:rPr>
  </w:style>
  <w:style w:type="paragraph" w:styleId="715">
    <w:name w:val="目录 1"/>
    <w:basedOn w:val="664"/>
    <w:next w:val="664"/>
    <w:link w:val="664"/>
    <w:semiHidden/>
    <w:pPr>
      <w:jc w:val="left"/>
      <w:spacing w:before="120" w:after="120" w:line="400" w:lineRule="exact"/>
      <w:tabs>
        <w:tab w:val="right" w:pos="8720" w:leader="dot"/>
      </w:tabs>
    </w:pPr>
    <w:rPr>
      <w:rFonts w:ascii="宋体" w:hAnsi="宋体"/>
      <w:caps/>
      <w:sz w:val="24"/>
      <w:szCs w:val="24"/>
    </w:rPr>
  </w:style>
  <w:style w:type="paragraph" w:styleId="716">
    <w:name w:val="目录 4"/>
    <w:basedOn w:val="664"/>
    <w:next w:val="664"/>
    <w:link w:val="664"/>
    <w:semiHidden/>
    <w:pPr>
      <w:ind w:left="630"/>
      <w:jc w:val="left"/>
    </w:pPr>
  </w:style>
  <w:style w:type="paragraph" w:styleId="717">
    <w:name w:val="列表"/>
    <w:basedOn w:val="664"/>
    <w:next w:val="717"/>
    <w:link w:val="664"/>
    <w:pPr>
      <w:ind w:left="200" w:hanging="200"/>
    </w:pPr>
  </w:style>
  <w:style w:type="paragraph" w:styleId="718">
    <w:name w:val="目录 6"/>
    <w:basedOn w:val="664"/>
    <w:next w:val="664"/>
    <w:link w:val="664"/>
    <w:semiHidden/>
    <w:pPr>
      <w:ind w:left="1050"/>
      <w:jc w:val="left"/>
    </w:pPr>
  </w:style>
  <w:style w:type="paragraph" w:styleId="719">
    <w:name w:val="正文文本缩进 3"/>
    <w:basedOn w:val="664"/>
    <w:next w:val="719"/>
    <w:link w:val="720"/>
    <w:pPr>
      <w:ind w:left="645" w:firstLine="645"/>
    </w:pPr>
    <w:rPr>
      <w:rFonts w:ascii="Arial" w:hAnsi="Arial" w:eastAsia="仿宋_GB2312" w:cs="Arial"/>
      <w:color w:val="ffff00"/>
      <w:sz w:val="32"/>
      <w:szCs w:val="32"/>
    </w:rPr>
  </w:style>
  <w:style w:type="character" w:styleId="720">
    <w:name w:val="正文文本缩进 3 字符"/>
    <w:next w:val="720"/>
    <w:link w:val="719"/>
    <w:rPr>
      <w:rFonts w:ascii="Arial" w:hAnsi="Arial" w:eastAsia="仿宋_GB2312" w:cs="Arial"/>
      <w:color w:val="ffff00"/>
      <w:sz w:val="32"/>
      <w:szCs w:val="32"/>
    </w:rPr>
  </w:style>
  <w:style w:type="paragraph" w:styleId="721">
    <w:name w:val="图表目录"/>
    <w:basedOn w:val="664"/>
    <w:next w:val="664"/>
    <w:link w:val="664"/>
    <w:semiHidden/>
    <w:pPr>
      <w:ind w:left="840" w:hanging="420"/>
    </w:pPr>
  </w:style>
  <w:style w:type="paragraph" w:styleId="722">
    <w:name w:val="目录 2"/>
    <w:basedOn w:val="664"/>
    <w:next w:val="664"/>
    <w:link w:val="664"/>
    <w:semiHidden/>
    <w:pPr>
      <w:ind w:left="210"/>
      <w:jc w:val="left"/>
    </w:pPr>
    <w:rPr>
      <w:smallCaps/>
      <w:szCs w:val="24"/>
    </w:rPr>
  </w:style>
  <w:style w:type="paragraph" w:styleId="723">
    <w:name w:val="目录 9"/>
    <w:basedOn w:val="664"/>
    <w:next w:val="664"/>
    <w:link w:val="664"/>
    <w:semiHidden/>
    <w:pPr>
      <w:ind w:left="1680"/>
      <w:jc w:val="left"/>
    </w:pPr>
  </w:style>
  <w:style w:type="paragraph" w:styleId="724">
    <w:name w:val="正文文本 2"/>
    <w:basedOn w:val="664"/>
    <w:next w:val="724"/>
    <w:link w:val="725"/>
    <w:pPr>
      <w:jc w:val="center"/>
      <w:widowControl/>
    </w:pPr>
    <w:rPr>
      <w:rFonts w:ascii="楷体_GB2312" w:eastAsia="楷体_GB2312"/>
      <w:sz w:val="28"/>
      <w:szCs w:val="28"/>
    </w:rPr>
  </w:style>
  <w:style w:type="character" w:styleId="725">
    <w:name w:val="正文文本 2 字符"/>
    <w:next w:val="725"/>
    <w:link w:val="724"/>
    <w:rPr>
      <w:rFonts w:ascii="楷体_GB2312" w:hAnsi="Times New Roman" w:eastAsia="楷体_GB2312" w:cs="Times New Roman"/>
      <w:sz w:val="28"/>
      <w:szCs w:val="28"/>
    </w:rPr>
  </w:style>
  <w:style w:type="paragraph" w:styleId="726">
    <w:name w:val="普通(网站)"/>
    <w:basedOn w:val="664"/>
    <w:next w:val="726"/>
    <w:link w:val="664"/>
    <w:uiPriority w:val="99"/>
    <w:pPr>
      <w:jc w:val="left"/>
      <w:spacing w:before="100" w:beforeAutospacing="1" w:after="100" w:afterAutospacing="1"/>
      <w:widowControl/>
    </w:pPr>
    <w:rPr>
      <w:rFonts w:ascii="宋体" w:hAnsi="宋体" w:cs="宋体"/>
      <w:sz w:val="24"/>
      <w:szCs w:val="24"/>
    </w:rPr>
  </w:style>
  <w:style w:type="paragraph" w:styleId="727">
    <w:name w:val="索引 1"/>
    <w:basedOn w:val="664"/>
    <w:next w:val="664"/>
    <w:link w:val="664"/>
    <w:semiHidden/>
    <w:pPr>
      <w:spacing w:line="240" w:lineRule="atLeast"/>
    </w:pPr>
    <w:rPr>
      <w:b/>
      <w:bCs/>
    </w:rPr>
  </w:style>
  <w:style w:type="paragraph" w:styleId="728">
    <w:name w:val="批注主题"/>
    <w:basedOn w:val="691"/>
    <w:next w:val="691"/>
    <w:link w:val="729"/>
    <w:semiHidden/>
    <w:rPr>
      <w:b/>
      <w:bCs/>
    </w:rPr>
  </w:style>
  <w:style w:type="character" w:styleId="729">
    <w:name w:val="批注主题 字符"/>
    <w:next w:val="729"/>
    <w:link w:val="728"/>
    <w:semiHidden/>
    <w:rPr>
      <w:rFonts w:ascii="Times New Roman" w:hAnsi="Times New Roman" w:eastAsia="宋体" w:cs="Times New Roman"/>
      <w:b/>
      <w:bCs/>
      <w:szCs w:val="21"/>
    </w:rPr>
  </w:style>
  <w:style w:type="paragraph" w:styleId="730">
    <w:name w:val="正文首行缩进"/>
    <w:basedOn w:val="664"/>
    <w:next w:val="730"/>
    <w:link w:val="731"/>
    <w:pPr>
      <w:ind w:firstLine="200"/>
      <w:spacing w:line="360" w:lineRule="auto"/>
    </w:pPr>
    <w:rPr>
      <w:rFonts w:ascii="仿宋_GB2312" w:eastAsia="仿宋_GB2312"/>
      <w:sz w:val="30"/>
      <w:szCs w:val="30"/>
    </w:rPr>
  </w:style>
  <w:style w:type="character" w:styleId="731">
    <w:name w:val="正文文本首行缩进 字符"/>
    <w:next w:val="731"/>
    <w:link w:val="730"/>
    <w:rPr>
      <w:rFonts w:ascii="仿宋_GB2312" w:hAnsi="Times New Roman" w:eastAsia="仿宋_GB2312" w:cs="Times New Roman"/>
      <w:sz w:val="30"/>
      <w:szCs w:val="30"/>
    </w:rPr>
  </w:style>
  <w:style w:type="paragraph" w:styleId="732">
    <w:name w:val="正文首行缩进 2"/>
    <w:basedOn w:val="697"/>
    <w:next w:val="732"/>
    <w:link w:val="733"/>
    <w:pPr>
      <w:ind w:firstLine="420"/>
      <w:spacing w:line="360" w:lineRule="auto"/>
    </w:pPr>
    <w:rPr>
      <w:rFonts w:ascii="宋体" w:hAnsi="宋体" w:eastAsia="宋体"/>
      <w:sz w:val="21"/>
      <w:szCs w:val="20"/>
    </w:rPr>
  </w:style>
  <w:style w:type="character" w:styleId="733">
    <w:name w:val="正文文本首行缩进 2 字符"/>
    <w:next w:val="733"/>
    <w:link w:val="732"/>
    <w:rPr>
      <w:rFonts w:ascii="宋体" w:hAnsi="宋体" w:eastAsia="宋体" w:cs="Times New Roman"/>
      <w:sz w:val="32"/>
      <w:szCs w:val="20"/>
    </w:rPr>
  </w:style>
  <w:style w:type="table" w:styleId="734">
    <w:name w:val="网格型"/>
    <w:basedOn w:val="675"/>
    <w:next w:val="734"/>
    <w:link w:val="664"/>
    <w:uiPriority w:val="59"/>
    <w:pPr>
      <w:jc w:val="both"/>
      <w:widowControl w:val="off"/>
    </w:pPr>
    <w:rPr>
      <w:rFonts w:ascii="Times New Roman" w:hAnsi="Times New Roman" w:eastAsia="宋体" w:cs="Times New Roman"/>
      <w:sz w:val="20"/>
      <w:szCs w:val="20"/>
    </w:rPr>
    <w:tblPr/>
  </w:style>
  <w:style w:type="character" w:styleId="735">
    <w:name w:val="要点"/>
    <w:next w:val="735"/>
    <w:link w:val="664"/>
    <w:qFormat/>
    <w:rPr>
      <w:b/>
      <w:bCs/>
    </w:rPr>
  </w:style>
  <w:style w:type="character" w:styleId="736">
    <w:name w:val="页码"/>
    <w:next w:val="736"/>
    <w:link w:val="664"/>
  </w:style>
  <w:style w:type="character" w:styleId="737">
    <w:name w:val="已访问的超链接"/>
    <w:next w:val="737"/>
    <w:link w:val="664"/>
    <w:rPr>
      <w:color w:val="800080"/>
      <w:u w:val="single"/>
    </w:rPr>
  </w:style>
  <w:style w:type="character" w:styleId="738">
    <w:name w:val="超链接"/>
    <w:next w:val="738"/>
    <w:link w:val="664"/>
    <w:rPr>
      <w:color w:val="0000ff"/>
      <w:u w:val="single"/>
    </w:rPr>
  </w:style>
  <w:style w:type="character" w:styleId="739">
    <w:name w:val="批注引用"/>
    <w:next w:val="739"/>
    <w:link w:val="664"/>
    <w:semiHidden/>
    <w:rPr>
      <w:sz w:val="21"/>
      <w:szCs w:val="21"/>
    </w:rPr>
  </w:style>
  <w:style w:type="character" w:styleId="740">
    <w:name w:val="二级目录 Char"/>
    <w:next w:val="740"/>
    <w:link w:val="741"/>
    <w:rPr>
      <w:b/>
      <w:sz w:val="30"/>
      <w:szCs w:val="28"/>
    </w:rPr>
  </w:style>
  <w:style w:type="paragraph" w:styleId="741">
    <w:name w:val="二级目录"/>
    <w:next w:val="664"/>
    <w:link w:val="740"/>
    <w:pPr>
      <w:numPr>
        <w:ilvl w:val="0"/>
        <w:numId w:val="2"/>
      </w:numPr>
      <w:tabs>
        <w:tab w:val="left" w:pos="907" w:leader="none"/>
        <w:tab w:val="left" w:pos="1145" w:leader="none"/>
      </w:tabs>
      <w:outlineLvl w:val="1"/>
    </w:pPr>
    <w:rPr>
      <w:b/>
      <w:sz w:val="30"/>
      <w:szCs w:val="28"/>
      <w:lang w:val="en-US" w:eastAsia="zh-CN" w:bidi="ar-SA"/>
    </w:rPr>
  </w:style>
  <w:style w:type="character" w:styleId="742">
    <w:name w:val="列出段落 Char,Bullet List Char,numbered Char,FooterText Char,List Paragraph1 Char,Paragraphe de liste1 Char"/>
    <w:next w:val="742"/>
    <w:link w:val="743"/>
    <w:rPr>
      <w:rFonts w:ascii="Calibri" w:hAnsi="Calibri"/>
      <w:sz w:val="24"/>
      <w:szCs w:val="24"/>
      <w:lang w:eastAsia="en-US" w:bidi="en-US"/>
    </w:rPr>
  </w:style>
  <w:style w:type="paragraph" w:styleId="743">
    <w:name w:val="列出段落1"/>
    <w:basedOn w:val="664"/>
    <w:next w:val="743"/>
    <w:link w:val="742"/>
    <w:qFormat/>
    <w:pPr>
      <w:contextualSpacing/>
      <w:ind w:left="720"/>
      <w:jc w:val="left"/>
      <w:widowControl/>
    </w:pPr>
    <w:rPr>
      <w:rFonts w:ascii="Calibri" w:hAnsi="Calibri" w:eastAsia="宋体" w:cs="Times New Roman"/>
      <w:sz w:val="24"/>
      <w:szCs w:val="24"/>
      <w:lang w:eastAsia="en-US" w:bidi="en-US"/>
    </w:rPr>
  </w:style>
  <w:style w:type="character" w:styleId="744">
    <w:name w:val="font5 Char"/>
    <w:next w:val="744"/>
    <w:link w:val="664"/>
    <w:rPr>
      <w:rFonts w:ascii="宋体" w:hAnsi="宋体" w:eastAsia="宋体"/>
      <w:sz w:val="28"/>
      <w:szCs w:val="28"/>
      <w:lang w:val="en-US" w:eastAsia="zh-CN" w:bidi="ar-SA"/>
    </w:rPr>
  </w:style>
  <w:style w:type="paragraph" w:styleId="745">
    <w:name w:val="正文空2字"/>
    <w:basedOn w:val="746"/>
    <w:next w:val="745"/>
    <w:link w:val="664"/>
    <w:uiPriority w:val="99"/>
    <w:qFormat/>
    <w:pPr>
      <w:ind w:firstLine="640"/>
      <w:spacing w:line="560" w:lineRule="exact"/>
      <w:widowControl w:val="off"/>
    </w:pPr>
    <w:rPr>
      <w:rFonts w:ascii="仿宋_GB2312" w:hAnsi="仿宋_GB2312" w:cs="仿宋_GB2312"/>
      <w:lang w:val="zh-TW"/>
    </w:rPr>
  </w:style>
  <w:style w:type="paragraph" w:styleId="746">
    <w:name w:val="左对齐正文"/>
    <w:next w:val="746"/>
    <w:link w:val="664"/>
    <w:uiPriority w:val="99"/>
    <w:qFormat/>
    <w:rPr>
      <w:rFonts w:ascii="Calibri" w:hAnsi="Calibri" w:eastAsia="仿宋_GB2312" w:cs="Calibri"/>
      <w:sz w:val="32"/>
      <w:szCs w:val="32"/>
      <w:lang w:val="en-US" w:eastAsia="zh-CN" w:bidi="ar-SA"/>
    </w:rPr>
  </w:style>
  <w:style w:type="paragraph" w:styleId="747">
    <w:name w:val="正文_15_0"/>
    <w:next w:val="747"/>
    <w:link w:val="664"/>
    <w:qFormat/>
    <w:pPr>
      <w:jc w:val="both"/>
      <w:widowControl w:val="off"/>
    </w:pPr>
    <w:rPr>
      <w:rFonts w:ascii="Calibri" w:hAnsi="Calibri"/>
      <w:sz w:val="21"/>
      <w:szCs w:val="22"/>
      <w:lang w:val="en-US" w:eastAsia="zh-CN" w:bidi="ar-SA"/>
    </w:rPr>
  </w:style>
  <w:style w:type="paragraph" w:styleId="748">
    <w:name w:val="正文_14_0_0"/>
    <w:next w:val="748"/>
    <w:link w:val="664"/>
    <w:qFormat/>
    <w:pPr>
      <w:jc w:val="both"/>
      <w:widowControl w:val="off"/>
    </w:pPr>
    <w:rPr>
      <w:sz w:val="21"/>
      <w:szCs w:val="24"/>
      <w:lang w:val="en-US" w:eastAsia="zh-CN" w:bidi="ar-SA"/>
    </w:rPr>
  </w:style>
  <w:style w:type="paragraph" w:styleId="749">
    <w:name w:val="xl26"/>
    <w:basedOn w:val="664"/>
    <w:next w:val="749"/>
    <w:link w:val="66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0">
    <w:name w:val="普通正文"/>
    <w:basedOn w:val="664"/>
    <w:next w:val="750"/>
    <w:link w:val="664"/>
    <w:pPr>
      <w:ind w:firstLine="480"/>
      <w:jc w:val="left"/>
      <w:spacing w:before="120" w:after="120" w:line="360" w:lineRule="auto"/>
    </w:pPr>
    <w:rPr>
      <w:rFonts w:ascii="Arial" w:hAnsi="Arial"/>
      <w:sz w:val="24"/>
      <w:szCs w:val="24"/>
    </w:rPr>
  </w:style>
  <w:style w:type="paragraph" w:styleId="751">
    <w:name w:val="xl25"/>
    <w:basedOn w:val="664"/>
    <w:next w:val="751"/>
    <w:link w:val="66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2">
    <w:name w:val="标题3"/>
    <w:basedOn w:val="664"/>
    <w:next w:val="664"/>
    <w:link w:val="664"/>
    <w:pPr>
      <w:ind w:firstLine="624"/>
      <w:spacing w:line="590" w:lineRule="atLeast"/>
    </w:pPr>
    <w:rPr>
      <w:rFonts w:ascii="方正黑体_GBK" w:eastAsia="方正黑体_GBK"/>
      <w:sz w:val="32"/>
      <w:szCs w:val="32"/>
    </w:rPr>
  </w:style>
  <w:style w:type="paragraph" w:styleId="753">
    <w:name w:val="正文_12_0_0_0_0"/>
    <w:basedOn w:val="664"/>
    <w:next w:val="753"/>
    <w:link w:val="664"/>
    <w:qFormat/>
    <w:rPr>
      <w:rFonts w:ascii="Times New Roman" w:hAnsi="Times New Roman"/>
      <w:szCs w:val="24"/>
    </w:rPr>
  </w:style>
  <w:style w:type="paragraph" w:styleId="754">
    <w:name w:val="部分1"/>
    <w:basedOn w:val="664"/>
    <w:next w:val="754"/>
    <w:link w:val="664"/>
    <w:qFormat/>
    <w:pPr>
      <w:jc w:val="center"/>
      <w:keepNext/>
      <w:pageBreakBefore/>
      <w:spacing w:line="360" w:lineRule="auto"/>
      <w:tabs>
        <w:tab w:val="left" w:pos="720" w:leader="none"/>
      </w:tabs>
      <w:outlineLvl w:val="0"/>
    </w:pPr>
    <w:rPr>
      <w:rFonts w:eastAsia="黑体"/>
      <w:b/>
      <w:sz w:val="36"/>
      <w:szCs w:val="20"/>
    </w:rPr>
  </w:style>
  <w:style w:type="paragraph" w:styleId="755">
    <w:name w:val="正文_14_0"/>
    <w:next w:val="755"/>
    <w:link w:val="664"/>
    <w:qFormat/>
    <w:pPr>
      <w:jc w:val="both"/>
      <w:widowControl w:val="off"/>
    </w:pPr>
    <w:rPr>
      <w:rFonts w:ascii="Calibri" w:hAnsi="Calibri"/>
      <w:sz w:val="21"/>
      <w:szCs w:val="22"/>
      <w:lang w:val="en-US" w:eastAsia="zh-CN" w:bidi="ar-SA"/>
    </w:rPr>
  </w:style>
  <w:style w:type="paragraph" w:styleId="756">
    <w:name w:val="正文2"/>
    <w:basedOn w:val="664"/>
    <w:next w:val="756"/>
    <w:link w:val="664"/>
    <w:qFormat/>
    <w:pPr>
      <w:ind w:firstLine="510"/>
      <w:spacing w:before="156" w:line="360" w:lineRule="auto"/>
    </w:pPr>
    <w:rPr>
      <w:sz w:val="24"/>
      <w:szCs w:val="20"/>
    </w:rPr>
  </w:style>
  <w:style w:type="paragraph" w:styleId="757">
    <w:name w:val="附录1"/>
    <w:next w:val="757"/>
    <w:link w:val="664"/>
    <w:pPr>
      <w:numPr>
        <w:ilvl w:val="0"/>
        <w:numId w:val="2"/>
      </w:numPr>
      <w:spacing w:before="240" w:line="600" w:lineRule="atLeast"/>
      <w:tabs>
        <w:tab w:val="left" w:pos="907" w:leader="none"/>
      </w:tabs>
    </w:pPr>
    <w:rPr>
      <w:b/>
      <w:i/>
      <w:sz w:val="28"/>
      <w:lang w:val="en-US" w:eastAsia="zh-CN" w:bidi="ar-SA"/>
    </w:rPr>
  </w:style>
  <w:style w:type="paragraph" w:styleId="758">
    <w:name w:val="正文1_0"/>
    <w:next w:val="758"/>
    <w:link w:val="664"/>
    <w:qFormat/>
    <w:pPr>
      <w:jc w:val="both"/>
      <w:widowControl w:val="off"/>
    </w:pPr>
    <w:rPr>
      <w:szCs w:val="24"/>
      <w:lang w:val="en-US" w:eastAsia="zh-CN" w:bidi="ar-SA"/>
    </w:rPr>
  </w:style>
  <w:style w:type="paragraph" w:styleId="759">
    <w:name w:val="Normal_12_0"/>
    <w:next w:val="759"/>
    <w:link w:val="664"/>
    <w:qFormat/>
    <w:pPr>
      <w:jc w:val="both"/>
      <w:widowControl w:val="off"/>
    </w:pPr>
    <w:rPr>
      <w:rFonts w:ascii="Calibri" w:hAnsi="Calibri"/>
      <w:sz w:val="21"/>
      <w:szCs w:val="22"/>
      <w:lang w:val="en-US" w:eastAsia="zh-CN" w:bidi="ar-SA"/>
    </w:rPr>
  </w:style>
  <w:style w:type="paragraph" w:styleId="760">
    <w:name w:val="Default"/>
    <w:basedOn w:val="664"/>
    <w:next w:val="760"/>
    <w:link w:val="664"/>
    <w:pPr>
      <w:jc w:val="left"/>
    </w:pPr>
    <w:rPr>
      <w:rFonts w:ascii="宋体" w:cs="宋体"/>
      <w:color w:val="000000"/>
      <w:sz w:val="24"/>
      <w:szCs w:val="24"/>
    </w:rPr>
  </w:style>
  <w:style w:type="paragraph" w:styleId="761">
    <w:name w:val="4"/>
    <w:basedOn w:val="664"/>
    <w:next w:val="719"/>
    <w:link w:val="664"/>
    <w:pPr>
      <w:ind w:firstLine="420"/>
      <w:spacing w:line="360" w:lineRule="auto"/>
    </w:pPr>
    <w:rPr>
      <w:color w:val="ff0000"/>
      <w:sz w:val="24"/>
      <w:szCs w:val="24"/>
    </w:rPr>
  </w:style>
  <w:style w:type="paragraph" w:styleId="762">
    <w:name w:val="Char Char Char Char Char Char Char Char"/>
    <w:basedOn w:val="664"/>
    <w:next w:val="762"/>
    <w:link w:val="664"/>
    <w:pPr>
      <w:jc w:val="left"/>
      <w:spacing w:after="160" w:line="240" w:lineRule="exact"/>
      <w:widowControl/>
    </w:pPr>
    <w:rPr>
      <w:rFonts w:ascii="Verdana" w:hAnsi="Verdana"/>
      <w:sz w:val="20"/>
      <w:szCs w:val="20"/>
      <w:lang w:eastAsia="en-US"/>
    </w:rPr>
  </w:style>
  <w:style w:type="paragraph" w:styleId="763">
    <w:name w:val="正文_2"/>
    <w:next w:val="763"/>
    <w:link w:val="664"/>
    <w:qFormat/>
    <w:pPr>
      <w:jc w:val="both"/>
      <w:widowControl w:val="off"/>
    </w:pPr>
    <w:rPr>
      <w:rFonts w:ascii="Calibri" w:hAnsi="Calibri"/>
      <w:sz w:val="21"/>
      <w:szCs w:val="22"/>
      <w:lang w:val="en-US" w:eastAsia="zh-CN" w:bidi="ar-SA"/>
    </w:rPr>
  </w:style>
  <w:style w:type="paragraph" w:styleId="764">
    <w:name w:val="修订"/>
    <w:next w:val="764"/>
    <w:link w:val="664"/>
    <w:uiPriority w:val="99"/>
    <w:semiHidden/>
    <w:rPr>
      <w:sz w:val="21"/>
      <w:szCs w:val="21"/>
      <w:lang w:val="en-US" w:eastAsia="zh-CN" w:bidi="ar-SA"/>
    </w:rPr>
  </w:style>
  <w:style w:type="paragraph" w:styleId="765">
    <w:name w:val="正文_8_1"/>
    <w:next w:val="765"/>
    <w:link w:val="664"/>
    <w:qFormat/>
    <w:pPr>
      <w:jc w:val="both"/>
      <w:widowControl w:val="off"/>
    </w:pPr>
    <w:rPr>
      <w:rFonts w:ascii="Calibri" w:hAnsi="Calibri"/>
      <w:sz w:val="21"/>
      <w:szCs w:val="22"/>
      <w:lang w:val="en-US" w:eastAsia="zh-CN" w:bidi="ar-SA"/>
    </w:rPr>
  </w:style>
  <w:style w:type="paragraph" w:styleId="766">
    <w:name w:val="font5"/>
    <w:basedOn w:val="664"/>
    <w:next w:val="766"/>
    <w:link w:val="664"/>
    <w:pPr>
      <w:jc w:val="left"/>
      <w:spacing w:before="100" w:beforeAutospacing="1" w:after="100" w:afterAutospacing="1"/>
      <w:widowControl/>
    </w:pPr>
    <w:rPr>
      <w:rFonts w:hint="eastAsia" w:ascii="宋体" w:hAnsi="宋体"/>
      <w:sz w:val="28"/>
      <w:szCs w:val="28"/>
    </w:rPr>
  </w:style>
  <w:style w:type="paragraph" w:styleId="767">
    <w:name w:val="table_1stline"/>
    <w:basedOn w:val="664"/>
    <w:next w:val="767"/>
    <w:link w:val="664"/>
    <w:pPr>
      <w:jc w:val="left"/>
      <w:spacing w:before="120"/>
      <w:widowControl/>
    </w:pPr>
    <w:rPr>
      <w:bCs/>
      <w:sz w:val="20"/>
      <w:szCs w:val="20"/>
      <w:lang w:val="de-DE" w:eastAsia="de-DE"/>
    </w:rPr>
  </w:style>
  <w:style w:type="paragraph" w:styleId="768">
    <w:name w:val="无间隔"/>
    <w:next w:val="768"/>
    <w:link w:val="664"/>
    <w:uiPriority w:val="99"/>
    <w:qFormat/>
    <w:pPr>
      <w:jc w:val="both"/>
      <w:widowControl w:val="off"/>
    </w:pPr>
    <w:rPr>
      <w:sz w:val="21"/>
      <w:szCs w:val="21"/>
      <w:lang w:val="en-US" w:eastAsia="zh-CN" w:bidi="ar-SA"/>
    </w:rPr>
  </w:style>
  <w:style w:type="paragraph" w:styleId="769">
    <w:name w:val="正文_12_0_0_0"/>
    <w:next w:val="769"/>
    <w:link w:val="664"/>
    <w:qFormat/>
    <w:pPr>
      <w:jc w:val="both"/>
      <w:widowControl w:val="off"/>
    </w:pPr>
    <w:rPr>
      <w:sz w:val="21"/>
      <w:szCs w:val="24"/>
      <w:lang w:val="en-US" w:eastAsia="zh-CN" w:bidi="ar-SA"/>
    </w:rPr>
  </w:style>
  <w:style w:type="paragraph" w:styleId="770">
    <w:name w:val="正文文本12"/>
    <w:basedOn w:val="664"/>
    <w:next w:val="770"/>
    <w:link w:val="664"/>
    <w:uiPriority w:val="1"/>
    <w:qFormat/>
    <w:pPr>
      <w:ind w:left="120"/>
    </w:pPr>
    <w:rPr>
      <w:rFonts w:ascii="宋体" w:hAnsi="宋体" w:eastAsia="宋体" w:cs="宋体"/>
      <w:sz w:val="21"/>
      <w:szCs w:val="21"/>
      <w:lang w:val="zh-CN" w:eastAsia="zh-CN" w:bidi="zh-CN"/>
    </w:rPr>
  </w:style>
  <w:style w:type="paragraph" w:styleId="771">
    <w:name w:val="Normal_0"/>
    <w:next w:val="771"/>
    <w:link w:val="664"/>
    <w:qFormat/>
    <w:rPr>
      <w:rFonts w:ascii="黑体" w:hAnsi="黑体" w:eastAsia="黑体"/>
      <w:b/>
      <w:sz w:val="32"/>
      <w:szCs w:val="24"/>
      <w:lang w:val="en-US" w:eastAsia="zh-CN" w:bidi="ar-SA"/>
    </w:rPr>
  </w:style>
  <w:style w:type="paragraph" w:styleId="772">
    <w:name w:val="Normal_6_0"/>
    <w:next w:val="772"/>
    <w:link w:val="664"/>
    <w:qFormat/>
    <w:rPr>
      <w:rFonts w:ascii="黑体" w:hAnsi="黑体" w:eastAsia="黑体" w:cs="黑体"/>
      <w:b/>
      <w:sz w:val="32"/>
      <w:szCs w:val="24"/>
      <w:lang w:val="en-US" w:eastAsia="zh-CN" w:bidi="ar-SA"/>
    </w:rPr>
  </w:style>
  <w:style w:type="paragraph" w:styleId="773">
    <w:name w:val="标题1"/>
    <w:basedOn w:val="664"/>
    <w:next w:val="664"/>
    <w:link w:val="664"/>
    <w:pPr>
      <w:jc w:val="center"/>
      <w:spacing w:line="700" w:lineRule="atLeast"/>
      <w:tabs>
        <w:tab w:val="left" w:pos="9193" w:leader="none"/>
        <w:tab w:val="left" w:pos="9827" w:leader="none"/>
      </w:tabs>
    </w:pPr>
    <w:rPr>
      <w:rFonts w:ascii="方正小标宋_GBK" w:eastAsia="方正小标宋_GBK"/>
      <w:sz w:val="44"/>
      <w:szCs w:val="20"/>
    </w:rPr>
  </w:style>
  <w:style w:type="paragraph" w:styleId="774">
    <w:name w:val="Char Char Char Char"/>
    <w:basedOn w:val="689"/>
    <w:next w:val="774"/>
    <w:link w:val="664"/>
    <w:pPr>
      <w:spacing w:line="360" w:lineRule="auto"/>
    </w:pPr>
    <w:rPr>
      <w:rFonts w:ascii="Tahoma" w:hAnsi="Tahoma"/>
      <w:sz w:val="24"/>
      <w:szCs w:val="24"/>
    </w:rPr>
  </w:style>
  <w:style w:type="paragraph" w:styleId="775">
    <w:name w:val="正文_9_0"/>
    <w:next w:val="775"/>
    <w:link w:val="664"/>
    <w:qFormat/>
    <w:pPr>
      <w:jc w:val="both"/>
      <w:widowControl w:val="off"/>
    </w:pPr>
    <w:rPr>
      <w:rFonts w:ascii="Calibri" w:hAnsi="Calibri"/>
      <w:sz w:val="21"/>
      <w:szCs w:val="22"/>
      <w:lang w:val="en-US" w:eastAsia="zh-CN" w:bidi="ar-SA"/>
    </w:rPr>
  </w:style>
  <w:style w:type="paragraph" w:styleId="776">
    <w:name w:val="样式1"/>
    <w:basedOn w:val="664"/>
    <w:next w:val="776"/>
    <w:link w:val="664"/>
    <w:pPr>
      <w:numPr>
        <w:ilvl w:val="0"/>
        <w:numId w:val="3"/>
      </w:numPr>
      <w:tabs>
        <w:tab w:val="left" w:pos="709" w:leader="none"/>
      </w:tabs>
    </w:pPr>
    <w:rPr>
      <w:rFonts w:ascii="宋体" w:hAnsi="宋体"/>
    </w:rPr>
  </w:style>
  <w:style w:type="paragraph" w:styleId="777">
    <w:name w:val="Body Text(ch)"/>
    <w:basedOn w:val="664"/>
    <w:next w:val="695"/>
    <w:link w:val="664"/>
    <w:pPr>
      <w:spacing w:after="120"/>
    </w:pPr>
    <w:rPr>
      <w:rFonts w:ascii="宋体" w:hAnsi="Arial"/>
      <w:bCs/>
      <w:iCs/>
      <w:szCs w:val="24"/>
    </w:rPr>
  </w:style>
  <w:style w:type="paragraph" w:styleId="778">
    <w:name w:val="Normal_20"/>
    <w:next w:val="778"/>
    <w:link w:val="664"/>
    <w:qFormat/>
    <w:rPr>
      <w:rFonts w:ascii="黑体" w:hAnsi="黑体" w:eastAsia="黑体" w:cs="黑体"/>
      <w:b/>
      <w:sz w:val="32"/>
      <w:szCs w:val="24"/>
      <w:lang w:val="en-US" w:eastAsia="zh-CN" w:bidi="ar-SA"/>
    </w:rPr>
  </w:style>
  <w:style w:type="paragraph" w:styleId="779">
    <w:name w:val="Normal_5_0"/>
    <w:next w:val="779"/>
    <w:link w:val="664"/>
    <w:qFormat/>
    <w:pPr>
      <w:jc w:val="both"/>
      <w:widowControl w:val="off"/>
    </w:pPr>
    <w:rPr>
      <w:rFonts w:ascii="Calibri" w:hAnsi="Calibri"/>
      <w:sz w:val="21"/>
      <w:szCs w:val="22"/>
      <w:lang w:val="en-US" w:eastAsia="zh-CN" w:bidi="ar-SA"/>
    </w:rPr>
  </w:style>
  <w:style w:type="paragraph" w:styleId="780">
    <w:name w:val="索引 41"/>
    <w:basedOn w:val="664"/>
    <w:next w:val="664"/>
    <w:link w:val="664"/>
    <w:semiHidden/>
    <w:qFormat/>
    <w:pPr>
      <w:ind w:left="1260"/>
    </w:pPr>
    <w:rPr>
      <w:rFonts w:ascii="Calibri" w:hAnsi="Calibri" w:eastAsia="Calibri" w:cs="宋体"/>
      <w:sz w:val="20"/>
      <w:lang w:val="zh-CN"/>
    </w:rPr>
  </w:style>
  <w:style w:type="paragraph" w:styleId="781">
    <w:name w:val="图标"/>
    <w:basedOn w:val="664"/>
    <w:next w:val="664"/>
    <w:link w:val="66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2">
    <w:name w:val=" Char Char Char Char Char Char Char Char Char Char"/>
    <w:basedOn w:val="664"/>
    <w:next w:val="782"/>
    <w:link w:val="664"/>
    <w:pPr>
      <w:spacing w:line="360" w:lineRule="auto"/>
    </w:pPr>
    <w:rPr>
      <w:sz w:val="24"/>
      <w:szCs w:val="20"/>
    </w:rPr>
  </w:style>
  <w:style w:type="paragraph" w:styleId="783">
    <w:name w:val=" Char"/>
    <w:basedOn w:val="689"/>
    <w:next w:val="783"/>
    <w:link w:val="664"/>
    <w:rPr>
      <w:rFonts w:ascii="Tahoma" w:hAnsi="Tahoma"/>
      <w:sz w:val="24"/>
      <w:szCs w:val="24"/>
    </w:rPr>
  </w:style>
  <w:style w:type="paragraph" w:styleId="784">
    <w:name w:val="Normal_1_2"/>
    <w:next w:val="784"/>
    <w:link w:val="664"/>
    <w:qFormat/>
    <w:rPr>
      <w:rFonts w:eastAsia="Times New Roman"/>
      <w:sz w:val="24"/>
      <w:szCs w:val="24"/>
      <w:lang w:val="en-US" w:eastAsia="zh-CN" w:bidi="ar-SA"/>
    </w:rPr>
  </w:style>
  <w:style w:type="paragraph" w:styleId="785">
    <w:name w:val="Normal_18_0"/>
    <w:next w:val="785"/>
    <w:link w:val="664"/>
    <w:qFormat/>
    <w:rPr>
      <w:rFonts w:ascii="黑体" w:hAnsi="黑体" w:eastAsia="黑体" w:cs="黑体"/>
      <w:b/>
      <w:sz w:val="32"/>
      <w:szCs w:val="24"/>
      <w:lang w:val="en-US" w:eastAsia="zh-CN" w:bidi="ar-SA"/>
    </w:rPr>
  </w:style>
  <w:style w:type="paragraph" w:styleId="786">
    <w:name w:val="xl24"/>
    <w:basedOn w:val="664"/>
    <w:next w:val="786"/>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7">
    <w:name w:val="table_lines"/>
    <w:basedOn w:val="664"/>
    <w:next w:val="787"/>
    <w:link w:val="664"/>
    <w:pPr>
      <w:jc w:val="left"/>
      <w:widowControl/>
    </w:pPr>
    <w:rPr>
      <w:sz w:val="20"/>
      <w:szCs w:val="20"/>
      <w:lang w:val="de-DE" w:eastAsia="de-DE"/>
    </w:rPr>
  </w:style>
  <w:style w:type="paragraph" w:styleId="788">
    <w:name w:val="列表段落"/>
    <w:basedOn w:val="664"/>
    <w:next w:val="788"/>
    <w:link w:val="664"/>
    <w:qFormat/>
    <w:pPr>
      <w:contextualSpacing/>
      <w:ind w:left="720"/>
      <w:jc w:val="left"/>
      <w:widowControl/>
    </w:pPr>
    <w:rPr>
      <w:rFonts w:ascii="Calibri" w:hAnsi="Calibri"/>
      <w:sz w:val="24"/>
      <w:szCs w:val="24"/>
      <w:lang w:eastAsia="en-US" w:bidi="en-US"/>
    </w:rPr>
  </w:style>
  <w:style w:type="paragraph" w:styleId="789">
    <w:name w:val="正文_1_0_0_0_0"/>
    <w:next w:val="789"/>
    <w:link w:val="664"/>
    <w:qFormat/>
    <w:pPr>
      <w:jc w:val="both"/>
      <w:widowControl w:val="off"/>
    </w:pPr>
    <w:rPr>
      <w:sz w:val="21"/>
      <w:lang w:val="en-US" w:eastAsia="zh-CN" w:bidi="ar-SA"/>
    </w:rPr>
  </w:style>
  <w:style w:type="paragraph" w:styleId="790">
    <w:name w:val="font7"/>
    <w:basedOn w:val="664"/>
    <w:next w:val="790"/>
    <w:link w:val="664"/>
    <w:pPr>
      <w:jc w:val="left"/>
      <w:spacing w:before="100" w:beforeAutospacing="1" w:after="100" w:afterAutospacing="1"/>
      <w:widowControl/>
    </w:pPr>
    <w:rPr>
      <w:rFonts w:hint="eastAsia" w:ascii="宋体" w:hAnsi="宋体"/>
      <w:sz w:val="18"/>
      <w:szCs w:val="18"/>
    </w:rPr>
  </w:style>
  <w:style w:type="paragraph" w:styleId="791">
    <w:name w:val="xl28"/>
    <w:basedOn w:val="664"/>
    <w:next w:val="791"/>
    <w:link w:val="66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2">
    <w:name w:val="Normal_13_0"/>
    <w:next w:val="792"/>
    <w:link w:val="664"/>
    <w:qFormat/>
    <w:rPr>
      <w:rFonts w:ascii="黑体" w:hAnsi="黑体" w:eastAsia="黑体" w:cs="黑体"/>
      <w:b/>
      <w:sz w:val="32"/>
      <w:szCs w:val="24"/>
      <w:lang w:val="en-US" w:eastAsia="zh-CN" w:bidi="ar-SA"/>
    </w:rPr>
  </w:style>
  <w:style w:type="paragraph" w:styleId="793">
    <w:name w:val="xl30"/>
    <w:basedOn w:val="664"/>
    <w:next w:val="793"/>
    <w:link w:val="664"/>
    <w:pPr>
      <w:jc w:val="center"/>
      <w:spacing w:before="100" w:beforeAutospacing="1" w:after="100" w:afterAutospacing="1"/>
      <w:widowControl/>
    </w:pPr>
    <w:rPr>
      <w:rFonts w:ascii="宋体" w:hAnsi="宋体"/>
      <w:b/>
      <w:bCs/>
      <w:sz w:val="36"/>
      <w:szCs w:val="36"/>
    </w:rPr>
  </w:style>
  <w:style w:type="paragraph" w:styleId="794">
    <w:name w:val=" Char Char Char Char Char Char Char Char"/>
    <w:basedOn w:val="664"/>
    <w:next w:val="794"/>
    <w:link w:val="664"/>
    <w:pPr>
      <w:jc w:val="left"/>
      <w:spacing w:after="160" w:line="240" w:lineRule="exact"/>
      <w:widowControl/>
    </w:pPr>
    <w:rPr>
      <w:rFonts w:ascii="Verdana" w:hAnsi="Verdana"/>
      <w:sz w:val="20"/>
      <w:szCs w:val="20"/>
      <w:lang w:eastAsia="en-US"/>
    </w:rPr>
  </w:style>
  <w:style w:type="paragraph" w:styleId="795">
    <w:name w:val="普通 (Web)"/>
    <w:basedOn w:val="664"/>
    <w:next w:val="795"/>
    <w:link w:val="664"/>
    <w:pPr>
      <w:jc w:val="left"/>
      <w:spacing w:before="100" w:beforeAutospacing="1" w:after="100" w:afterAutospacing="1"/>
      <w:widowControl/>
    </w:pPr>
    <w:rPr>
      <w:rFonts w:ascii="宋体" w:hAnsi="宋体"/>
      <w:sz w:val="24"/>
      <w:szCs w:val="24"/>
    </w:rPr>
  </w:style>
  <w:style w:type="paragraph" w:styleId="796">
    <w:name w:val="首行缩进"/>
    <w:basedOn w:val="664"/>
    <w:next w:val="796"/>
    <w:link w:val="664"/>
    <w:qFormat/>
    <w:pPr>
      <w:ind w:firstLine="480"/>
    </w:pPr>
    <w:rPr>
      <w:rFonts w:ascii="Times New Roman" w:hAnsi="Times New Roman" w:cs="Times New Roman"/>
      <w:lang w:val="zh-CN"/>
    </w:rPr>
  </w:style>
  <w:style w:type="paragraph" w:styleId="797">
    <w:name w:val=" Char Char Char Char"/>
    <w:basedOn w:val="689"/>
    <w:next w:val="797"/>
    <w:link w:val="664"/>
    <w:pPr>
      <w:spacing w:line="360" w:lineRule="auto"/>
    </w:pPr>
    <w:rPr>
      <w:rFonts w:ascii="Tahoma" w:hAnsi="Tahoma"/>
      <w:sz w:val="24"/>
      <w:szCs w:val="24"/>
    </w:rPr>
  </w:style>
  <w:style w:type="paragraph" w:styleId="798">
    <w:name w:val="Char"/>
    <w:basedOn w:val="664"/>
    <w:next w:val="798"/>
    <w:link w:val="664"/>
    <w:pPr>
      <w:ind w:firstLine="200"/>
      <w:tabs>
        <w:tab w:val="left" w:pos="360" w:leader="none"/>
      </w:tabs>
    </w:pPr>
    <w:rPr>
      <w:sz w:val="28"/>
      <w:szCs w:val="30"/>
    </w:rPr>
  </w:style>
  <w:style w:type="paragraph" w:styleId="799">
    <w:name w:val="xl27"/>
    <w:basedOn w:val="664"/>
    <w:next w:val="799"/>
    <w:link w:val="66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0">
    <w:name w:val="font6"/>
    <w:basedOn w:val="664"/>
    <w:next w:val="800"/>
    <w:link w:val="664"/>
    <w:pPr>
      <w:jc w:val="left"/>
      <w:spacing w:before="100" w:beforeAutospacing="1" w:after="100" w:afterAutospacing="1"/>
      <w:widowControl/>
    </w:pPr>
    <w:rPr>
      <w:rFonts w:hint="eastAsia" w:ascii="宋体" w:hAnsi="宋体"/>
      <w:sz w:val="28"/>
      <w:szCs w:val="28"/>
      <w:u w:val="single"/>
    </w:rPr>
  </w:style>
  <w:style w:type="paragraph" w:styleId="801">
    <w:name w:val="列出段落_2"/>
    <w:basedOn w:val="765"/>
    <w:next w:val="801"/>
    <w:link w:val="664"/>
    <w:uiPriority w:val="34"/>
    <w:qFormat/>
    <w:pPr>
      <w:ind w:firstLine="420"/>
    </w:pPr>
    <w:rPr>
      <w:rFonts w:ascii="Calibri" w:hAnsi="Calibri" w:eastAsia="宋体"/>
    </w:rPr>
  </w:style>
  <w:style w:type="paragraph" w:styleId="802">
    <w:name w:val="正文_16_0_0"/>
    <w:next w:val="758"/>
    <w:link w:val="664"/>
    <w:qFormat/>
    <w:pPr>
      <w:jc w:val="both"/>
      <w:widowControl w:val="off"/>
    </w:pPr>
    <w:rPr>
      <w:rFonts w:ascii="Calibri" w:hAnsi="Calibri"/>
      <w:sz w:val="21"/>
      <w:szCs w:val="22"/>
      <w:lang w:val="en-US" w:eastAsia="zh-CN" w:bidi="ar-SA"/>
    </w:rPr>
  </w:style>
  <w:style w:type="paragraph" w:styleId="803">
    <w:name w:val="xl29"/>
    <w:basedOn w:val="664"/>
    <w:next w:val="803"/>
    <w:link w:val="66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table" w:styleId="804">
    <w:name w:val="Table Normal"/>
    <w:next w:val="804"/>
    <w:link w:val="664"/>
    <w:qFormat/>
    <w:rPr>
      <w:lang w:val="en-US" w:eastAsia="zh-CN" w:bidi="ar-SA"/>
    </w:rPr>
    <w:tblPr/>
  </w:style>
  <w:style w:type="paragraph" w:styleId="805">
    <w:name w:val="正文_7_1_0"/>
    <w:next w:val="805"/>
    <w:link w:val="664"/>
    <w:qFormat/>
    <w:pPr>
      <w:jc w:val="both"/>
      <w:widowControl w:val="off"/>
    </w:pPr>
    <w:rPr>
      <w:rFonts w:ascii="Calibri" w:hAnsi="Calibri"/>
      <w:sz w:val="21"/>
      <w:szCs w:val="22"/>
      <w:lang w:val="en-US" w:eastAsia="zh-CN" w:bidi="ar-SA"/>
    </w:rPr>
  </w:style>
  <w:style w:type="paragraph" w:styleId="806">
    <w:name w:val="纯文本_0_0"/>
    <w:basedOn w:val="805"/>
    <w:next w:val="806"/>
    <w:link w:val="664"/>
    <w:unhideWhenUsed/>
    <w:qFormat/>
    <w:rPr>
      <w:rFonts w:ascii="宋体" w:hAnsi="Courier New"/>
      <w:sz w:val="20"/>
      <w:szCs w:val="21"/>
    </w:rPr>
  </w:style>
  <w:style w:type="paragraph" w:styleId="807">
    <w:name w:val="正文_8_0"/>
    <w:next w:val="807"/>
    <w:link w:val="664"/>
    <w:qFormat/>
    <w:pPr>
      <w:jc w:val="both"/>
      <w:widowControl w:val="off"/>
    </w:pPr>
    <w:rPr>
      <w:rFonts w:ascii="Calibri" w:hAnsi="Calibri"/>
      <w:sz w:val="21"/>
      <w:szCs w:val="22"/>
      <w:lang w:val="en-US" w:eastAsia="zh-CN" w:bidi="ar-SA"/>
    </w:rPr>
  </w:style>
  <w:style w:type="paragraph" w:styleId="808">
    <w:name w:val="正文_3"/>
    <w:next w:val="809"/>
    <w:link w:val="664"/>
    <w:qFormat/>
    <w:pPr>
      <w:jc w:val="both"/>
      <w:widowControl w:val="off"/>
    </w:pPr>
    <w:rPr>
      <w:rFonts w:ascii="Calibri" w:hAnsi="Calibri"/>
      <w:sz w:val="21"/>
      <w:szCs w:val="22"/>
      <w:lang w:val="en-US" w:eastAsia="zh-CN" w:bidi="ar-SA"/>
    </w:rPr>
  </w:style>
  <w:style w:type="paragraph" w:styleId="809">
    <w:name w:val="脚注文本_0"/>
    <w:basedOn w:val="808"/>
    <w:next w:val="810"/>
    <w:link w:val="664"/>
    <w:qFormat/>
    <w:pPr>
      <w:jc w:val="left"/>
    </w:pPr>
    <w:rPr>
      <w:rFonts w:ascii="宋体"/>
      <w:bCs/>
      <w:sz w:val="18"/>
      <w:szCs w:val="18"/>
    </w:rPr>
  </w:style>
  <w:style w:type="paragraph" w:styleId="810">
    <w:name w:val="索引 5_0"/>
    <w:basedOn w:val="808"/>
    <w:next w:val="808"/>
    <w:link w:val="664"/>
    <w:qFormat/>
    <w:pPr>
      <w:ind w:left="800"/>
    </w:pPr>
  </w:style>
  <w:style w:type="character" w:styleId="811">
    <w:name w:val="font21"/>
    <w:next w:val="811"/>
    <w:link w:val="664"/>
    <w:rPr>
      <w:rFonts w:hint="eastAsia" w:ascii="宋体" w:hAnsi="宋体" w:eastAsia="宋体" w:cs="宋体"/>
      <w:i w:val="0"/>
      <w:iCs w:val="0"/>
      <w:color w:val="000000"/>
      <w:sz w:val="18"/>
      <w:szCs w:val="18"/>
      <w:u w:val="none"/>
    </w:rPr>
  </w:style>
  <w:style w:type="character" w:styleId="812">
    <w:name w:val="font31"/>
    <w:next w:val="812"/>
    <w:link w:val="664"/>
    <w:rPr>
      <w:rFonts w:ascii="Calibri" w:hAnsi="Calibri" w:cs="Calibri"/>
      <w:i w:val="0"/>
      <w:iCs w:val="0"/>
      <w:color w:val="000000"/>
      <w:sz w:val="18"/>
      <w:szCs w:val="18"/>
      <w:u w:val="none"/>
    </w:rPr>
  </w:style>
  <w:style w:type="character" w:styleId="813">
    <w:name w:val="font71"/>
    <w:next w:val="813"/>
    <w:link w:val="664"/>
    <w:rPr>
      <w:rFonts w:ascii="Calibri" w:hAnsi="Calibri" w:cs="Calibri"/>
      <w:i w:val="0"/>
      <w:iCs w:val="0"/>
      <w:color w:val="000000"/>
      <w:sz w:val="18"/>
      <w:szCs w:val="18"/>
      <w:u w:val="none"/>
    </w:rPr>
  </w:style>
  <w:style w:type="paragraph" w:styleId="814">
    <w:name w:val="正文_2_0"/>
    <w:next w:val="814"/>
    <w:link w:val="664"/>
    <w:qFormat/>
    <w:pPr>
      <w:jc w:val="both"/>
      <w:widowControl w:val="off"/>
    </w:pPr>
    <w:rPr>
      <w:rFonts w:ascii="Calibri" w:hAnsi="Calibri"/>
      <w:sz w:val="21"/>
      <w:szCs w:val="22"/>
      <w:lang w:val="en-US" w:eastAsia="zh-CN" w:bidi="ar-SA"/>
    </w:rPr>
  </w:style>
  <w:style w:type="paragraph" w:styleId="815">
    <w:name w:val="正文_12_0"/>
    <w:next w:val="815"/>
    <w:link w:val="664"/>
    <w:qFormat/>
    <w:pPr>
      <w:jc w:val="both"/>
      <w:widowControl w:val="off"/>
    </w:pPr>
    <w:rPr>
      <w:sz w:val="21"/>
      <w:szCs w:val="24"/>
      <w:lang w:val="en-US" w:eastAsia="zh-CN" w:bidi="ar-SA"/>
    </w:rPr>
  </w:style>
  <w:style w:type="paragraph" w:styleId="816">
    <w:name w:val="正文_7_0_0"/>
    <w:next w:val="816"/>
    <w:link w:val="664"/>
    <w:qFormat/>
    <w:pPr>
      <w:jc w:val="both"/>
      <w:widowControl w:val="off"/>
    </w:pPr>
    <w:rPr>
      <w:sz w:val="21"/>
      <w:szCs w:val="24"/>
      <w:lang w:val="en-US" w:eastAsia="zh-CN" w:bidi="ar-SA"/>
    </w:rPr>
  </w:style>
  <w:style w:type="character" w:styleId="20299" w:default="1">
    <w:name w:val="Default Paragraph Font"/>
    <w:uiPriority w:val="1"/>
    <w:semiHidden/>
    <w:unhideWhenUsed/>
  </w:style>
  <w:style w:type="numbering" w:styleId="20300" w:default="1">
    <w:name w:val="No List"/>
    <w:uiPriority w:val="99"/>
    <w:semiHidden/>
    <w:unhideWhenUsed/>
  </w:style>
  <w:style w:type="table" w:styleId="203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dc:creator>
  <cp:lastModifiedBy>周璐</cp:lastModifiedBy>
  <cp:revision>2</cp:revision>
  <dcterms:created xsi:type="dcterms:W3CDTF">2023-03-16T02:16:00Z</dcterms:created>
  <dcterms:modified xsi:type="dcterms:W3CDTF">2025-10-11T06:56:22Z</dcterms:modified>
</cp:coreProperties>
</file>